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Title"/>
        <w:spacing w:before="0" w:after="0" w:line="700" w:lineRule="exact"/>
        <w:outlineLvl w:val="9"/>
        <w:rPr>
          <w:rFonts w:ascii="方正小标宋简体" w:eastAsia="方正小标宋简体" w:hAnsi="宋体" w:hAnsiTheme="majorEastAsia" w:hint="eastAsia"/>
          <w:b w:val="0"/>
          <w:sz w:val="48"/>
          <w:szCs w:val="48"/>
          <w:lang w:val="en-US" w:eastAsia="zh-CN"/>
        </w:rPr>
      </w:pPr>
    </w:p>
    <w:p>
      <w:pPr>
        <w:keepNext w:val="0"/>
        <w:keepLines w:val="0"/>
        <w:widowControl/>
        <w:suppressLineNumbers w:val="0"/>
        <w:pBdr>
          <w:top w:val="none" w:sz="0" w:space="0" w:color="auto"/>
          <w:left w:val="none" w:sz="0" w:space="0" w:color="auto"/>
          <w:bottom w:val="single" w:sz="6" w:space="0" w:color="DEDCD8"/>
          <w:right w:val="none" w:sz="0" w:space="0" w:color="auto"/>
        </w:pBdr>
        <w:spacing w:before="0" w:beforeAutospacing="0" w:after="0" w:afterAutospacing="0" w:line="750" w:lineRule="atLeast"/>
        <w:ind w:left="0" w:right="0"/>
        <w:jc w:val="center"/>
        <w:rPr>
          <w:rFonts w:ascii="方正小标宋简体" w:eastAsia="方正小标宋简体" w:hAnsi="宋体" w:hAnsiTheme="majorEastAsia" w:cs="Arial" w:cstheme="minorBidi" w:hint="eastAsia"/>
          <w:b w:val="0"/>
          <w:bCs/>
          <w:kern w:val="2"/>
          <w:sz w:val="48"/>
          <w:szCs w:val="48"/>
          <w:lang w:val="en-US" w:eastAsia="zh-CN" w:bidi="ar-SA"/>
        </w:rPr>
      </w:pPr>
    </w:p>
    <w:p>
      <w:pPr>
        <w:keepNext w:val="0"/>
        <w:keepLines w:val="0"/>
        <w:widowControl/>
        <w:suppressLineNumbers w:val="0"/>
        <w:pBdr>
          <w:top w:val="none" w:sz="0" w:space="0" w:color="auto"/>
          <w:left w:val="none" w:sz="0" w:space="0" w:color="auto"/>
          <w:bottom w:val="single" w:sz="6" w:space="0" w:color="DEDCD8"/>
          <w:right w:val="none" w:sz="0" w:space="0" w:color="auto"/>
        </w:pBdr>
        <w:spacing w:before="0" w:beforeAutospacing="0" w:after="0" w:afterAutospacing="0" w:line="750" w:lineRule="atLeast"/>
        <w:ind w:left="0" w:right="0"/>
        <w:jc w:val="center"/>
        <w:rPr>
          <w:rFonts w:ascii="方正小标宋简体" w:eastAsia="方正小标宋简体" w:hAnsi="宋体" w:hAnsiTheme="majorEastAsia" w:cs="Arial" w:cstheme="minorBidi" w:hint="eastAsia"/>
          <w:b w:val="0"/>
          <w:bCs/>
          <w:kern w:val="2"/>
          <w:sz w:val="48"/>
          <w:szCs w:val="48"/>
          <w:lang w:val="en-US" w:eastAsia="zh-CN" w:bidi="ar-SA"/>
        </w:rPr>
      </w:pPr>
      <w:r>
        <w:rPr>
          <w:rFonts w:ascii="方正小标宋简体" w:eastAsia="方正小标宋简体" w:hAnsi="宋体" w:hAnsiTheme="majorEastAsia" w:cs="Arial" w:cstheme="minorBidi" w:hint="eastAsia"/>
          <w:b w:val="0"/>
          <w:bCs/>
          <w:kern w:val="2"/>
          <w:sz w:val="48"/>
          <w:szCs w:val="48"/>
          <w:lang w:val="en-US" w:eastAsia="zh-CN" w:bidi="ar-SA"/>
        </w:rPr>
        <w:t xml:space="preserve">国家税务总局关于办理2023年度个人所得税综合所得汇算清缴事项的公告</w:t>
      </w:r>
    </w:p>
    <w:p>
      <w:pPr>
        <w:jc w:val="center"/>
        <w:rPr>
          <w:rFonts w:ascii="仿宋_GB2312" w:eastAsia="仿宋_GB2312" w:hAnsi="仿宋_GB2312"/>
          <w:sz w:val="32"/>
          <w:szCs w:val="32"/>
        </w:rPr>
      </w:pPr>
      <w:r>
        <w:rPr>
          <w:rFonts w:ascii="仿宋_GB2312" w:eastAsia="仿宋_GB2312" w:hAnsi="仿宋_GB2312" w:hint="eastAsia"/>
          <w:sz w:val="32"/>
          <w:szCs w:val="32"/>
          <w:lang w:val="en-US" w:eastAsia="zh-CN"/>
        </w:rPr>
        <w:t xml:space="preserve">国家税务总局公告2024年第2号</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10" w:lineRule="atLeast"/>
        <w:ind w:left="0" w:right="0" w:firstLine="0"/>
        <w:jc w:val="right"/>
        <w:rPr>
          <w:rFonts w:ascii="微软雅黑" w:eastAsia="微软雅黑" w:hAnsi="微软雅黑" w:cs="微软雅黑" w:hint="eastAsia"/>
          <w:i w:val="0"/>
          <w:iCs w:val="0"/>
          <w:caps w:val="0"/>
          <w:color w:val="005DDC"/>
          <w:spacing w:val="0"/>
          <w:kern w:val="0"/>
          <w:sz w:val="18"/>
          <w:szCs w:val="18"/>
          <w:lang w:val="en-US" w:eastAsia="zh-CN"/>
        </w:rPr>
      </w:pPr>
      <w:r>
        <w:rPr>
          <w:rFonts w:ascii="微软雅黑" w:eastAsia="微软雅黑" w:hAnsi="微软雅黑" w:cs="微软雅黑" w:hint="eastAsia"/>
          <w:i w:val="0"/>
          <w:iCs w:val="0"/>
          <w:caps w:val="0"/>
          <w:color w:val="005DDC"/>
          <w:spacing w:val="0"/>
          <w:kern w:val="0"/>
          <w:sz w:val="18"/>
          <w:szCs w:val="18"/>
          <w:lang w:val="en-US" w:eastAsia="zh-CN"/>
        </w:rPr>
        <w:t xml:space="preserve">   </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根据个人所得税法及其实施条例、税收征收管理法及其实施细则等有关规定，现就办理2023年度个人所得税综合所得汇算清缴（以下简称汇算）有关事项公告如下：</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Style w:val="Strong"/>
          <w:rFonts w:ascii="微软雅黑" w:eastAsia="微软雅黑" w:hAnsi="微软雅黑" w:cs="微软雅黑" w:hint="eastAsia"/>
          <w:color w:val="333333"/>
          <w:sz w:val="27"/>
          <w:szCs w:val="27"/>
        </w:rPr>
        <w:t xml:space="preserve">一、汇算的主要内容</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2023年度终了后，居民个人（以下称纳税人）需要汇总2023年1月1日至12月31日取得的工资薪金、劳务报酬、稿酬、特许权使用费等四项综合所得的收入额，减除费用6万元以及专项扣除、专项附加扣除、依法确定的其他扣除和符合条件的公益慈善事业捐赠后，适用综合所得个人所得税税率并减去速算扣除数（税率表见附件1），计算最终应纳税额，再减去2023年已预缴税额，得出应退或应补税额，向税务机关申报并办理退税或补税。具体计算公式如下：</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应退或应补税额=[（综合所得收入额-60000元-“三险一金”等专项扣除-子女教育等专项附加扣除-依法确定的其他扣除-符合条件的公益慈善事业捐赠）×适用税率-速算扣除数]-已预缴税额</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汇算不涉及纳税人的财产租赁等分类所得，以及按规定不并入综合所得计算纳税的所得。</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Style w:val="Strong"/>
          <w:rFonts w:ascii="微软雅黑" w:eastAsia="微软雅黑" w:hAnsi="微软雅黑" w:cs="微软雅黑" w:hint="eastAsia"/>
          <w:color w:val="333333"/>
          <w:sz w:val="27"/>
          <w:szCs w:val="27"/>
        </w:rPr>
        <w:t xml:space="preserve">二、无需办理汇算的情形</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纳税人在2023年已依法预缴个人所得税且符合下列情形之一的，无需办理汇算：</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（一）汇算需补税但综合所得收入全年不超过12万元的；</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（二）汇算需补税金额不超过400元的；</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（三）已预缴税额与汇算应纳税额一致的；</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（四）符合汇算退税条件但不申请退税的。</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Style w:val="Strong"/>
          <w:rFonts w:ascii="微软雅黑" w:eastAsia="微软雅黑" w:hAnsi="微软雅黑" w:cs="微软雅黑" w:hint="eastAsia"/>
          <w:color w:val="333333"/>
          <w:sz w:val="27"/>
          <w:szCs w:val="27"/>
        </w:rPr>
        <w:t xml:space="preserve">三、需要办理汇算的情形</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符合下列情形之一的，纳税人需办理汇算：</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（一）已预缴税额大于汇算应纳税额且申请退税的；</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（二）2023年取得的综合所得收入超过12万元且汇算需要补税金额超过400元的。</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因适用所得项目错误或者扣缴义务人未依法履行扣缴义务，造成2023年少申报或者未申报综合所得的，纳税人应当依法据实办理汇算。</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Style w:val="Strong"/>
          <w:rFonts w:ascii="微软雅黑" w:eastAsia="微软雅黑" w:hAnsi="微软雅黑" w:cs="微软雅黑" w:hint="eastAsia"/>
          <w:color w:val="333333"/>
          <w:sz w:val="27"/>
          <w:szCs w:val="27"/>
        </w:rPr>
        <w:t xml:space="preserve">四、可享受的税前扣除</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下列在2023年发生的税前扣除，纳税人可在汇算期间填报或补充扣除：</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（一） 减除费用6万元，以及符合条件的基本养老保险、基本医疗保险、失业保险等社会保险费和住房公积金等专项扣除；</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（二） 符合条件的3岁以下婴幼儿照护、子女教育、继续教育、大病医疗、住房贷款利息或住房租金、赡养老人专项附加扣除；</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（三） 符合条件的企业年金和职业年金、商业健康保险、个人养老金等其他扣除；</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（四）符合条件的公益慈善事业捐赠。</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同时取得综合所得和经营所得的纳税人，可在综合所得或经营所得中申报减除费用6万元、专项扣除、专项附加扣除以及依法确定的其他扣除，但不得重复申报减除。</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纳税人与其配偶共同填报3岁以下婴幼儿照护、子女教育、大病医疗、住房贷款利息及住房租金等专项附加扣除的，以及与兄弟姐妹共同填报赡养老人专项附加扣除的，需要与其他填报人沟通填报扣除金额，避免超过规定额度或比例填报专项附加扣除。纳税人填报不符合规定的，一经发现，税务机关将通过手机个人所得税APP、自然人电子税务局网站或者扣缴义务人等渠道进行提示提醒。根据《财政部 税务总局关于个人所得税综合所得汇算清缴涉及有关政策问题的公告》（2019年第94号）有关规定，</w:t>
      </w:r>
      <w:r>
        <w:rPr>
          <w:rFonts w:ascii="微软雅黑" w:eastAsia="微软雅黑" w:hAnsi="微软雅黑" w:cs="微软雅黑" w:hint="eastAsia"/>
          <w:b/>
          <w:bCs/>
          <w:color w:val="333333"/>
          <w:sz w:val="27"/>
          <w:szCs w:val="27"/>
        </w:rPr>
        <w:t xml:space="preserve">对于拒不更正或者不说明情况的纳税人，税务机关将暂停其享受专项附加扣除。</w:t>
      </w:r>
      <w:r>
        <w:rPr>
          <w:rFonts w:ascii="微软雅黑" w:eastAsia="微软雅黑" w:hAnsi="微软雅黑" w:cs="微软雅黑" w:hint="eastAsia"/>
          <w:color w:val="333333"/>
          <w:sz w:val="27"/>
          <w:szCs w:val="27"/>
        </w:rPr>
        <w:t xml:space="preserve">纳税人按规定更正相关信息或者说明情况后，可继续享受专项附加扣除。</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Style w:val="Strong"/>
          <w:rFonts w:ascii="微软雅黑" w:eastAsia="微软雅黑" w:hAnsi="微软雅黑" w:cs="微软雅黑" w:hint="eastAsia"/>
          <w:color w:val="333333"/>
          <w:sz w:val="27"/>
          <w:szCs w:val="27"/>
        </w:rPr>
        <w:t xml:space="preserve">五、办理时间</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2023年度汇算办理时间为2024年3月1</w:t>
      </w:r>
      <w:bookmarkStart w:id="0" w:name="_GoBack"/>
      <w:bookmarkEnd w:id="0"/>
      <w:r>
        <w:rPr>
          <w:rFonts w:ascii="微软雅黑" w:eastAsia="微软雅黑" w:hAnsi="微软雅黑" w:cs="微软雅黑" w:hint="eastAsia"/>
          <w:color w:val="333333"/>
          <w:sz w:val="27"/>
          <w:szCs w:val="27"/>
        </w:rPr>
        <w:t xml:space="preserve">日至6月30日。在中国境内无住所的纳税人在3月1日前离境的，可以在离境前办理。</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Style w:val="Strong"/>
          <w:rFonts w:ascii="微软雅黑" w:eastAsia="微软雅黑" w:hAnsi="微软雅黑" w:cs="微软雅黑" w:hint="eastAsia"/>
          <w:color w:val="333333"/>
          <w:sz w:val="27"/>
          <w:szCs w:val="27"/>
        </w:rPr>
        <w:t xml:space="preserve">六、办理方式</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纳税人可自主选择下列办理方式：</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（一）自行办理。</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（二）通过任职受雇单位（含按累计预扣法预扣预缴其劳务报酬所得个人所得税的单位）代为办理。</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纳税人提出代办要求的，单位应当代为办理，或者培训、辅导纳税人完成汇算申报和退（补）税。</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由单位代为办理的，纳税人应提前与单位以书面或者电子等方式进行确认，补充提供2023年在本单位以外取得的综合所得收入、相关扣除、享受税收优惠等信息资料，并对所提交信息的真实性、准确性、完整性负责。纳税人未与单位确认请其代为办理的，单位不得代办。</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（三）委托受托人（含涉税专业服务机构或其他单位及个人）办理，纳税人需与受托人签订授权书。</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单位或受托人为纳税人办理汇算后，应当及时将办理情况告知纳税人。纳税人发现汇算申报信息存在错误的，可以要求单位或受托人更正申报，也可自行更正申报。</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Style w:val="Strong"/>
          <w:rFonts w:ascii="微软雅黑" w:eastAsia="微软雅黑" w:hAnsi="微软雅黑" w:cs="微软雅黑" w:hint="eastAsia"/>
          <w:color w:val="333333"/>
          <w:sz w:val="27"/>
          <w:szCs w:val="27"/>
        </w:rPr>
        <w:t xml:space="preserve">七、办理渠道</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为便利纳税人，税务机关为纳税人提供高效、快捷的网络办税渠道。纳税人可优先通过个税APP及网站办理汇算，税务机关将为纳税人提供申报表项目预填服务；不方便通过上述方式办理的，也可以通过邮寄方式或到办税服务厅办理。</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选择邮寄申报的，纳税人需将申报表寄送至按本公告第九条确定的主管税务机关所在省、自治区、直辖市和计划单列市税务局公告的地址。</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Style w:val="Strong"/>
          <w:rFonts w:ascii="微软雅黑" w:eastAsia="微软雅黑" w:hAnsi="微软雅黑" w:cs="微软雅黑" w:hint="eastAsia"/>
          <w:color w:val="333333"/>
          <w:sz w:val="27"/>
          <w:szCs w:val="27"/>
        </w:rPr>
        <w:t xml:space="preserve">八、申报信息及资料留存</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纳税人办理汇算，适用个人所得税年度自行纳税申报表（附件2、3），如需修改本人相关基础信息，新增享受扣除或者税收优惠的，还应按规定一并填报相关信息、提供佐证材料。纳税人需仔细核对，确保所填信息真实、准确、完整。</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纳税人、代办汇算的单位，需各自将专项附加扣除、税收优惠材料等汇算相关资料，自汇算期结束之日起留存5年。</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存在股权（股票）激励（含境内企业以境外企业股权为标的对员工进行的股权激励）、职务科技成果转化现金奖励等情况的单位，应当按照相关规定进行报告、备案。同时，纳税人在一个纳税年度内从同一单位多次取得股权激励的，由该单位合并计算扣缴税款。纳税人在一个纳税年度内从不同单位取得股权激励的，可将之前单位取得的股权激励有关信息提供给现单位并由其合并计算扣缴税款，也可在次年3月1日至6月30日自行向税务机关办理合并申报。</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Style w:val="Strong"/>
          <w:rFonts w:ascii="微软雅黑" w:eastAsia="微软雅黑" w:hAnsi="微软雅黑" w:cs="微软雅黑" w:hint="eastAsia"/>
          <w:color w:val="333333"/>
          <w:sz w:val="27"/>
          <w:szCs w:val="27"/>
        </w:rPr>
        <w:t xml:space="preserve">九、受理申报的税务机关</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按照方便就近原则，纳税人自行办理或受托人为纳税人代为办理的，向纳税人任职受雇单位的主管税务机关申报；有两处及以上任职受雇单位的，可自主选择向其中一处申报。</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纳税人没有任职受雇单位的，向其户籍所在地、经常居住地或者主要收入来源地的主管税务机关申报。主要收入来源地，是指2023年向纳税人累计发放劳务报酬、稿酬及特许权使用费金额最大的扣缴义务人所在地。</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单位为纳税人代办汇算的，向单位的主管税务机关申报。</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为方便纳税服务和征收管理，汇算期结束后，税务部门将为尚未办理汇算申报、多次股权激励合并申报的纳税人确定其主管税务机关。</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Style w:val="Strong"/>
          <w:rFonts w:ascii="微软雅黑" w:eastAsia="微软雅黑" w:hAnsi="微软雅黑" w:cs="微软雅黑" w:hint="eastAsia"/>
          <w:color w:val="333333"/>
          <w:sz w:val="27"/>
          <w:szCs w:val="27"/>
        </w:rPr>
        <w:t xml:space="preserve">十、退（补）税</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（一）办理退税</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纳税人申请汇算退税，应当提供其在中国境内开设的符合条件的银行账户。税务机关按规定审核后，按照国库管理有关规定办理税款退库。纳税人未提供本人有效银行账户，或者提供的信息资料有误的，税务机关将通知纳税人更正，纳税人按要求更正后依法办理退税。</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为方便办理退税，2023年综合所得全年收入额不超过6万元且已预缴个人所得税的纳税人，可选择使用个税APP或网站提供的简易申报功能，便捷办理汇算退税。</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申请2023年度汇算退税及其他退税的纳税人，如存在应当办理2022年及以前年度汇算补税但未办理，或者经税务机关通知2022年及以前年度汇算申报存在疑点但未更正或说明情况的，需在办理2022年及以前年度汇算申报补税、更正申报或者说明有关情况后依法申请退税。</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（二）办理补税</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纳税人办理汇算补税的，可以通过网上银行、办税服务厅POS机刷卡、银行柜台、非银行支付机构等方式缴纳。邮寄申报并补税的，纳税人需通过个税APP及网站或者主管税务机关办税服务厅及时关注申报进度并缴纳税款。</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汇算需补税的纳税人，汇算期结束后未申报补税或未足额补税的，一经发现，税务机关将依法责令限期改正并向纳税人送达有关税务文书，对已签订《税务文书电子送达确认书》的，通过个税APP及网站等渠道进行电子文书送达；对未签订《税务文书电子送达确认书》的，以其他方式送达。同时，税务机关将依法加收滞纳金，并在其个人所得税《纳税记录》中予以标注。</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纳税人因申报信息填写错误造成汇算多退或少缴税款的，纳税人主动或经税务机关提醒后及时改正的，税务机关可以按照“首违不罚”原则免予处罚。</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Style w:val="Strong"/>
          <w:rFonts w:ascii="微软雅黑" w:eastAsia="微软雅黑" w:hAnsi="微软雅黑" w:cs="微软雅黑" w:hint="eastAsia"/>
          <w:color w:val="333333"/>
          <w:sz w:val="27"/>
          <w:szCs w:val="27"/>
        </w:rPr>
        <w:t xml:space="preserve">十一、汇算服务</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税务机关推出系列优化服务措施，加强汇算的政策解读和操作辅导力度，分类编制办税指引，通俗解释政策口径、专业术语和操作流程，多渠道、多形式开展提示提醒服务，并通过个税APP及网站、12366纳税缴费服务平台等渠道提供涉税咨询，帮助纳税人解决疑难问题，积极回应纳税人诉求。</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汇算开始前，纳税人可登录个税APP及网站，查看自己的综合所得和纳税情况，核对银行卡、专项附加扣除涉及人员身份信息等基础资料，为汇算做好准备。</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为合理有序引导纳税人办理汇算，提升纳税人办理体验，主管税务机关将分批分期通知提醒纳税人在确定的时间段内办理。同时，税务部门推出预约办理服务，有汇算初期（3月1日至3月20日）办理需求的纳税人，可以根据自身情况，在2月21日后通过个税APP预约上述时间段中的任意一天办理。3月21日至6月30日，纳税人无需预约，可以随时办理。</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对符合汇算退税条件且生活负担较重的纳税人，税务机关提供优先退税服务。独立完成汇算存在困难的年长、行动不便等特殊人群提出申请，税务机关可提供个性化便民服务。</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Style w:val="Strong"/>
          <w:rFonts w:ascii="微软雅黑" w:eastAsia="微软雅黑" w:hAnsi="微软雅黑" w:cs="微软雅黑" w:hint="eastAsia"/>
          <w:color w:val="333333"/>
          <w:sz w:val="27"/>
          <w:szCs w:val="27"/>
        </w:rPr>
        <w:t xml:space="preserve">十二、其他事项</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《国家税务总局关于个人所得税自行纳税申报有关问题的公告》（2018年第62号）第一条、第四条与本公告不一致的，依照本公告执行。</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根据《财政部 税务总局 住房城乡建设部关于延续实施支持居民换购住房有关个人所得税政策的公告》（2023年第28号）规定，在2024年1月1日至2025年12月31日期间，纳税人出售自有住房并在现住房出售后1年内，在同一城市重新购买住房的，可按规定申请退还其出售现住房已缴纳的个人所得税，具体服务与征管规定参照《国家税务总局关于支持居民换购住房个人所得税政策有关征管事项的公告》（2022年第21号）执行。</w:t>
      </w:r>
    </w:p>
    <w:p>
      <w:pPr>
        <w:pStyle w:val="Normal(Web)"/>
        <w:keepNext w:val="0"/>
        <w:keepLines w:val="0"/>
        <w:widowControl/>
        <w:suppressLineNumbers w:val="0"/>
        <w:ind w:left="0" w:firstLine="420"/>
        <w:rPr>
          <w:rFonts w:ascii="微软雅黑" w:eastAsia="微软雅黑" w:hAnsi="微软雅黑" w:cs="微软雅黑" w:hint="eastAsia"/>
          <w:color w:val="333333"/>
          <w:sz w:val="27"/>
          <w:szCs w:val="27"/>
        </w:rPr>
      </w:pPr>
      <w:r>
        <w:rPr>
          <w:rFonts w:ascii="微软雅黑" w:eastAsia="微软雅黑" w:hAnsi="微软雅黑" w:cs="微软雅黑" w:hint="eastAsia"/>
          <w:color w:val="333333"/>
          <w:sz w:val="27"/>
          <w:szCs w:val="27"/>
        </w:rPr>
        <w:t xml:space="preserve">特此公告。</w:t>
      </w:r>
    </w:p>
    <w:p>
      <w:pPr>
        <w:adjustRightInd w:val="0"/>
        <w:snapToGrid w:val="0"/>
        <w:spacing w:line="620" w:lineRule="exact"/>
        <w:rPr>
          <w:rStyle w:val="标题2Char"/>
          <w:rFonts w:ascii="仿宋_GB2312" w:eastAsia="仿宋_GB2312" w:hAnsi="宋体" w:cs="楷体_GB2312" w:hint="eastAsia"/>
          <w:b w:val="0"/>
          <w:lang w:val="en-US" w:eastAsia="zh-CN"/>
        </w:rPr>
      </w:pPr>
    </w:p>
    <w:p>
      <w:pPr>
        <w:adjustRightInd w:val="0"/>
        <w:snapToGrid w:val="0"/>
        <w:spacing w:line="620" w:lineRule="exact"/>
        <w:ind w:left="5438" w:hanging="4800" w:leftChars="304" w:hangingChars="1500"/>
        <w:rPr>
          <w:rStyle w:val="标题2Char"/>
          <w:rFonts w:ascii="仿宋_GB2312" w:eastAsia="仿宋_GB2312" w:hAnsi="宋体" w:cs="楷体_GB2312" w:hint="eastAsia"/>
          <w:b w:val="0"/>
        </w:rPr>
      </w:pPr>
      <w:r>
        <w:rPr>
          <w:rStyle w:val="标题2Char"/>
          <w:rFonts w:ascii="仿宋_GB2312" w:eastAsia="仿宋_GB2312" w:hAnsi="宋体" w:cs="楷体_GB2312" w:hint="eastAsia"/>
          <w:b w:val="0"/>
          <w:lang w:val="en-US" w:eastAsia="zh-CN"/>
        </w:rPr>
        <w:t xml:space="preserve">                                                     </w:t>
      </w:r>
      <w:r>
        <w:rPr>
          <w:rStyle w:val="标题2Char"/>
          <w:rFonts w:ascii="仿宋_GB2312" w:eastAsia="仿宋_GB2312" w:hAnsi="宋体" w:cs="楷体_GB2312" w:hint="eastAsia"/>
          <w:b w:val="0"/>
        </w:rPr>
        <w:t xml:space="preserve">国家税务总局</w:t>
      </w:r>
    </w:p>
    <w:p>
      <w:pPr>
        <w:adjustRightInd w:val="0"/>
        <w:snapToGrid w:val="0"/>
        <w:spacing w:line="620" w:lineRule="exact"/>
        <w:ind w:firstLine="640" w:firstLineChars="200"/>
        <w:rPr>
          <w:rStyle w:val="标题2Char"/>
          <w:rFonts w:ascii="仿宋_GB2312" w:eastAsia="仿宋_GB2312" w:hAnsi="宋体" w:cs="楷体_GB2312" w:hint="eastAsia"/>
          <w:b w:val="0"/>
        </w:rPr>
      </w:pPr>
      <w:r>
        <w:rPr>
          <w:rStyle w:val="标题2Char"/>
          <w:rFonts w:ascii="仿宋_GB2312" w:eastAsia="仿宋_GB2312" w:hAnsi="宋体" w:cs="楷体_GB2312" w:hint="eastAsia"/>
          <w:b w:val="0"/>
          <w:lang w:val="en-US" w:eastAsia="zh-CN"/>
        </w:rPr>
        <w:t xml:space="preserve">                             </w:t>
      </w:r>
      <w:r>
        <w:rPr>
          <w:rStyle w:val="标题2Char"/>
          <w:rFonts w:ascii="仿宋_GB2312" w:eastAsia="仿宋_GB2312" w:hAnsi="宋体" w:cs="楷体_GB2312" w:hint="eastAsia"/>
          <w:b w:val="0"/>
        </w:rPr>
        <w:t xml:space="preserve">20</w:t>
      </w:r>
      <w:r>
        <w:rPr>
          <w:rStyle w:val="标题2Char"/>
          <w:rFonts w:ascii="仿宋_GB2312" w:eastAsia="仿宋_GB2312" w:hAnsi="宋体" w:cs="楷体_GB2312" w:hint="eastAsia"/>
          <w:b w:val="0"/>
          <w:lang w:val="en-US" w:eastAsia="zh-CN"/>
        </w:rPr>
        <w:t xml:space="preserve">24</w:t>
      </w:r>
      <w:r>
        <w:rPr>
          <w:rStyle w:val="标题2Char"/>
          <w:rFonts w:ascii="仿宋_GB2312" w:eastAsia="仿宋_GB2312" w:hAnsi="宋体" w:cs="楷体_GB2312" w:hint="eastAsia"/>
          <w:b w:val="0"/>
        </w:rPr>
        <w:t xml:space="preserve">年</w:t>
      </w:r>
      <w:r>
        <w:rPr>
          <w:rStyle w:val="标题2Char"/>
          <w:rFonts w:ascii="仿宋_GB2312" w:eastAsia="仿宋_GB2312" w:hAnsi="宋体" w:cs="楷体_GB2312" w:hint="eastAsia"/>
          <w:b w:val="0"/>
          <w:lang w:val="en-US" w:eastAsia="zh-CN"/>
        </w:rPr>
        <w:t xml:space="preserve">1</w:t>
      </w:r>
      <w:r>
        <w:rPr>
          <w:rStyle w:val="标题2Char"/>
          <w:rFonts w:ascii="仿宋_GB2312" w:eastAsia="仿宋_GB2312" w:hAnsi="宋体" w:cs="楷体_GB2312" w:hint="eastAsia"/>
          <w:b w:val="0"/>
        </w:rPr>
        <w:t xml:space="preserve">月</w:t>
      </w:r>
      <w:r>
        <w:rPr>
          <w:rStyle w:val="标题2Char"/>
          <w:rFonts w:ascii="仿宋_GB2312" w:eastAsia="仿宋_GB2312" w:hAnsi="宋体" w:cs="楷体_GB2312" w:hint="eastAsia"/>
          <w:b w:val="0"/>
          <w:lang w:val="en-US" w:eastAsia="zh-CN"/>
        </w:rPr>
        <w:t xml:space="preserve">31</w:t>
      </w:r>
      <w:r>
        <w:rPr>
          <w:rStyle w:val="标题2Char"/>
          <w:rFonts w:ascii="仿宋_GB2312" w:eastAsia="仿宋_GB2312" w:hAnsi="宋体" w:cs="楷体_GB2312" w:hint="eastAsia"/>
          <w:b w:val="0"/>
        </w:rPr>
        <w:t xml:space="preserve">日</w:t>
      </w:r>
    </w:p>
    <w:p>
      <w:pPr>
        <w:adjustRightInd w:val="0"/>
        <w:snapToGrid w:val="0"/>
        <w:spacing w:line="620" w:lineRule="exact"/>
        <w:ind w:firstLine="640" w:firstLineChars="200"/>
        <w:rPr>
          <w:rStyle w:val="标题2Char"/>
          <w:rFonts w:ascii="仿宋_GB2312" w:eastAsia="仿宋_GB2312" w:hAnsi="宋体" w:cs="楷体_GB2312" w:hint="eastAsia"/>
          <w:b w:val="0"/>
        </w:rPr>
      </w:pPr>
    </w:p>
    <w:sectPr>
      <w:headerReference w:type="default" r:id="rId8"/>
      <w:pgSz w:w="11906" w:h="16838" w:orient="portrait"/>
      <w:pgMar w:top="2098" w:right="1474" w:bottom="1984" w:left="1587" w:header="851" w:footer="992" w:gutter="0"/>
      <w:cols w:num="1" w:space="425">
        <w:col w:w="8845"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_x0000_s2049" o:spid="_x0000_s159021" type="#_x0000_t136" style="height:25pt;margin-left:20pt;margin-top:50pt;mso-height-relative:page;mso-width-relative:page;position:absolute;rotation:315;width:125pt;z-index:251659264" coordsize="21600,21600" filled="t" fillcolor="#f7f7f7" stroked="t" strokecolor="#f7f7f7" strokeweight="1pt">
          <v:textpath style="font-family:&quot;宋体&quot;;font-size:24pt;v-text-align:center" trim="f" fitpath="t" xscale="f" string="1700004 姚妮 2023-03-02"/>
        </v:shape>
      </w:pict>
    </w:r>
    <w:r>
      <w:pict>
        <v:shape id="_x0000_s2050" o:spid="_x0000_s159022" type="#_x0000_t136" style="height:25pt;margin-left:150pt;margin-top:50pt;mso-height-relative:page;mso-width-relative:page;position:absolute;rotation:315;width:125pt;z-index:251659264" coordsize="21600,21600" filled="t" fillcolor="#f7f7f7" stroked="t" strokecolor="#f7f7f7" strokeweight="1pt">
          <v:textpath style="font-family:&quot;宋体&quot;;font-size:24pt;v-text-align:center" trim="f" fitpath="t" xscale="f" string="1700004 姚妮 2023-03-02"/>
        </v:shape>
      </w:pict>
    </w:r>
    <w:r>
      <w:pict>
        <v:shape id="_x0000_s2051" o:spid="_x0000_s159023" type="#_x0000_t136" style="height:25pt;margin-left:280pt;margin-top:50pt;mso-height-relative:page;mso-width-relative:page;position:absolute;rotation:315;width:125pt;z-index:251659264" coordsize="21600,21600" filled="t" fillcolor="#f7f7f7" stroked="t" strokecolor="#f7f7f7" strokeweight="1pt">
          <v:textpath style="font-family:&quot;宋体&quot;;font-size:24pt;v-text-align:center" trim="f" fitpath="t" xscale="f" string="1700004 姚妮 2023-03-02"/>
        </v:shape>
      </w:pict>
    </w:r>
    <w:r>
      <w:pict>
        <v:shape id="_x0000_s2052" o:spid="_x0000_s159024" type="#_x0000_t136" style="height:25pt;margin-left:20pt;margin-top:235pt;mso-height-relative:page;mso-width-relative:page;position:absolute;rotation:315;width:125pt;z-index:251659264" coordsize="21600,21600" filled="t" fillcolor="#f7f7f7" stroked="t" strokecolor="#f7f7f7" strokeweight="1pt">
          <v:textpath style="font-family:&quot;宋体&quot;;font-size:24pt;v-text-align:center" trim="f" fitpath="t" xscale="f" string="1700004 姚妮 2023-03-02"/>
        </v:shape>
      </w:pict>
    </w:r>
    <w:r>
      <w:pict>
        <v:shape id="_x0000_s2053" o:spid="_x0000_s159025" type="#_x0000_t136" style="height:25pt;margin-left:150pt;margin-top:235pt;mso-height-relative:page;mso-width-relative:page;position:absolute;rotation:315;width:125pt;z-index:251659264" coordsize="21600,21600" filled="t" fillcolor="#f7f7f7" stroked="t" strokecolor="#f7f7f7" strokeweight="1pt">
          <v:textpath style="font-family:&quot;宋体&quot;;font-size:24pt;v-text-align:center" trim="f" fitpath="t" xscale="f" string="1700004 姚妮 2023-03-02"/>
        </v:shape>
      </w:pict>
    </w:r>
    <w:r>
      <w:pict>
        <v:shape id="_x0000_s2054" o:spid="_x0000_s159026" type="#_x0000_t136" style="height:25pt;margin-left:280pt;margin-top:235pt;mso-height-relative:page;mso-width-relative:page;position:absolute;rotation:315;width:125pt;z-index:251659264" coordsize="21600,21600" filled="t" fillcolor="#f7f7f7" stroked="t" strokecolor="#f7f7f7" strokeweight="1pt">
          <v:textpath style="font-family:&quot;宋体&quot;;font-size:24pt;v-text-align:center" trim="f" fitpath="t" xscale="f" string="1700004 姚妮 2023-03-02"/>
        </v:shape>
      </w:pict>
    </w:r>
    <w:r>
      <w:pict>
        <v:shape id="_x0000_s2055" o:spid="_x0000_s159027" type="#_x0000_t136" style="height:25pt;margin-left:20pt;margin-top:420pt;mso-height-relative:page;mso-width-relative:page;position:absolute;rotation:315;width:125pt;z-index:251659264" coordsize="21600,21600" filled="t" fillcolor="#f7f7f7" stroked="t" strokecolor="#f7f7f7" strokeweight="1pt">
          <v:textpath style="font-family:&quot;宋体&quot;;font-size:24pt;v-text-align:center" trim="f" fitpath="t" xscale="f" string="1700004 姚妮 2023-03-02"/>
        </v:shape>
      </w:pict>
    </w:r>
    <w:r>
      <w:pict>
        <v:shape id="_x0000_s2056" o:spid="_x0000_s159028" type="#_x0000_t136" style="height:25pt;margin-left:150pt;margin-top:420pt;mso-height-relative:page;mso-width-relative:page;position:absolute;rotation:315;width:125pt;z-index:251659264" coordsize="21600,21600" filled="t" fillcolor="#f7f7f7" stroked="t" strokecolor="#f7f7f7" strokeweight="1pt">
          <v:textpath style="font-family:&quot;宋体&quot;;font-size:24pt;v-text-align:center" trim="f" fitpath="t" xscale="f" string="1700004 姚妮 2023-03-02"/>
        </v:shape>
      </w:pict>
    </w:r>
    <w:r>
      <w:pict>
        <v:shape id="_x0000_s2057" o:spid="_x0000_s159029" type="#_x0000_t136" style="height:25pt;margin-left:280pt;margin-top:420pt;mso-height-relative:page;mso-width-relative:page;position:absolute;rotation:315;width:125pt;z-index:251659264" coordsize="21600,21600" filled="t" fillcolor="#f7f7f7" stroked="t" strokecolor="#f7f7f7" strokeweight="1pt">
          <v:textpath style="font-family:&quot;宋体&quot;;font-size:24pt;v-text-align:center" trim="f" fitpath="t" xscale="f" string="1700004 姚妮 2023-03-02"/>
        </v:shape>
      </w:pict>
    </w:r>
    <w:r>
      <w:pict>
        <v:shape id="_x0000_s2058" o:spid="_x0000_s159030" type="#_x0000_t136" style="height:25pt;margin-left:20pt;margin-top:605pt;mso-height-relative:page;mso-width-relative:page;position:absolute;rotation:315;width:125pt;z-index:251659264" coordsize="21600,21600" filled="t" fillcolor="#f7f7f7" stroked="t" strokecolor="#f7f7f7" strokeweight="1pt">
          <v:textpath style="font-family:&quot;宋体&quot;;font-size:24pt;v-text-align:center" trim="f" fitpath="t" xscale="f" string="1700004 姚妮 2023-03-02"/>
        </v:shape>
      </w:pict>
    </w:r>
    <w:r>
      <w:pict>
        <v:shape id="_x0000_s2059" o:spid="_x0000_s159031" type="#_x0000_t136" style="height:25pt;margin-left:150pt;margin-top:605pt;mso-height-relative:page;mso-width-relative:page;position:absolute;rotation:315;width:125pt;z-index:251659264" coordsize="21600,21600" filled="t" fillcolor="#f7f7f7" stroked="t" strokecolor="#f7f7f7" strokeweight="1pt">
          <v:textpath style="font-family:&quot;宋体&quot;;font-size:24pt;v-text-align:center" trim="f" fitpath="t" xscale="f" string="1700004 姚妮 2023-03-02"/>
        </v:shape>
      </w:pict>
    </w:r>
    <w:r>
      <w:pict>
        <v:shape id="_x0000_s2060" o:spid="_x0000_s159032" type="#_x0000_t136" style="height:25pt;margin-left:280pt;margin-top:605pt;mso-height-relative:page;mso-width-relative:page;position:absolute;rotation:315;width:125pt;z-index:251659264" coordsize="21600,21600" filled="t" fillcolor="#f7f7f7" stroked="t" strokecolor="#f7f7f7" strokeweight="1pt">
          <v:textpath style="font-family:&quot;宋体&quot;;font-size:24pt;v-text-align:center" trim="f" fitpath="t" xscale="f" string="1700004 姚妮 2023-03-02"/>
        </v:shape>
      </w:pict>
    </w:r>
    <w:r>
      <w:pict>
        <v:shape id="_x0000_s159009" type="#_x0000_t136" style="height:25pt;margin-left:20pt;margin-top:50pt;position:absolute;rotation:315;width:125pt;z-index:0" fillcolor="#f7f7f7" strokecolor="#f7f7f7" strokeweight="1pt">
          <v:stroke linestyle="single"/>
          <v:textpath style="font-family:&quot;宋体&quot;;font-size:24pt;font-variant:small-caps" string="内部资料，禁止外传 2024-03-01"/>
        </v:shape>
      </w:pict>
    </w:r>
    <w:r>
      <w:pict>
        <v:shape id="_x0000_s159010" type="#_x0000_t136" style="height:25pt;margin-left:150pt;margin-top:50pt;position:absolute;rotation:315;width:125pt;z-index:0" fillcolor="#f7f7f7" strokecolor="#f7f7f7" strokeweight="1pt">
          <v:stroke linestyle="single"/>
          <v:textpath style="font-family:&quot;宋体&quot;;font-size:24pt;font-variant:small-caps" string="内部资料，禁止外传 2024-03-01"/>
        </v:shape>
      </w:pict>
    </w:r>
    <w:r>
      <w:pict>
        <v:shape id="_x0000_s159011" type="#_x0000_t136" style="height:25pt;margin-left:280pt;margin-top:50pt;position:absolute;rotation:315;width:125pt;z-index:0" fillcolor="#f7f7f7" strokecolor="#f7f7f7" strokeweight="1pt">
          <v:stroke linestyle="single"/>
          <v:textpath style="font-family:&quot;宋体&quot;;font-size:24pt;font-variant:small-caps" string="内部资料，禁止外传 2024-03-01"/>
        </v:shape>
      </w:pict>
    </w:r>
    <w:r>
      <w:pict>
        <v:shape id="_x0000_s159012" type="#_x0000_t136" style="height:25pt;margin-left:20pt;margin-top:235pt;position:absolute;rotation:315;width:125pt;z-index:0" fillcolor="#f7f7f7" strokecolor="#f7f7f7" strokeweight="1pt">
          <v:stroke linestyle="single"/>
          <v:textpath style="font-family:&quot;宋体&quot;;font-size:24pt;font-variant:small-caps" string="内部资料，禁止外传 2024-03-01"/>
        </v:shape>
      </w:pict>
    </w:r>
    <w:r>
      <w:pict>
        <v:shape id="_x0000_s159013" type="#_x0000_t136" style="height:25pt;margin-left:150pt;margin-top:235pt;position:absolute;rotation:315;width:125pt;z-index:0" fillcolor="#f7f7f7" strokecolor="#f7f7f7" strokeweight="1pt">
          <v:stroke linestyle="single"/>
          <v:textpath style="font-family:&quot;宋体&quot;;font-size:24pt;font-variant:small-caps" string="内部资料，禁止外传 2024-03-01"/>
        </v:shape>
      </w:pict>
    </w:r>
    <w:r>
      <w:pict>
        <v:shape id="_x0000_s159014" type="#_x0000_t136" style="height:25pt;margin-left:280pt;margin-top:235pt;position:absolute;rotation:315;width:125pt;z-index:0" fillcolor="#f7f7f7" strokecolor="#f7f7f7" strokeweight="1pt">
          <v:stroke linestyle="single"/>
          <v:textpath style="font-family:&quot;宋体&quot;;font-size:24pt;font-variant:small-caps" string="内部资料，禁止外传 2024-03-01"/>
        </v:shape>
      </w:pict>
    </w:r>
    <w:r>
      <w:pict>
        <v:shape id="_x0000_s159015" type="#_x0000_t136" style="height:25pt;margin-left:20pt;margin-top:420pt;position:absolute;rotation:315;width:125pt;z-index:0" fillcolor="#f7f7f7" strokecolor="#f7f7f7" strokeweight="1pt">
          <v:stroke linestyle="single"/>
          <v:textpath style="font-family:&quot;宋体&quot;;font-size:24pt;font-variant:small-caps" string="内部资料，禁止外传 2024-03-01"/>
        </v:shape>
      </w:pict>
    </w:r>
    <w:r>
      <w:pict>
        <v:shape id="_x0000_s159016" type="#_x0000_t136" style="height:25pt;margin-left:150pt;margin-top:420pt;position:absolute;rotation:315;width:125pt;z-index:0" fillcolor="#f7f7f7" strokecolor="#f7f7f7" strokeweight="1pt">
          <v:stroke linestyle="single"/>
          <v:textpath style="font-family:&quot;宋体&quot;;font-size:24pt;font-variant:small-caps" string="内部资料，禁止外传 2024-03-01"/>
        </v:shape>
      </w:pict>
    </w:r>
    <w:r>
      <w:pict>
        <v:shape id="_x0000_s159017" type="#_x0000_t136" style="height:25pt;margin-left:280pt;margin-top:420pt;position:absolute;rotation:315;width:125pt;z-index:0" fillcolor="#f7f7f7" strokecolor="#f7f7f7" strokeweight="1pt">
          <v:stroke linestyle="single"/>
          <v:textpath style="font-family:&quot;宋体&quot;;font-size:24pt;font-variant:small-caps" string="内部资料，禁止外传 2024-03-01"/>
        </v:shape>
      </w:pict>
    </w:r>
    <w:r>
      <w:pict>
        <v:shape id="_x0000_s159018" type="#_x0000_t136" style="height:25pt;margin-left:20pt;margin-top:605pt;position:absolute;rotation:315;width:125pt;z-index:0" fillcolor="#f7f7f7" strokecolor="#f7f7f7" strokeweight="1pt">
          <v:stroke linestyle="single"/>
          <v:textpath style="font-family:&quot;宋体&quot;;font-size:24pt;font-variant:small-caps" string="内部资料，禁止外传 2024-03-01"/>
        </v:shape>
      </w:pict>
    </w:r>
    <w:r>
      <w:pict>
        <v:shape id="_x0000_s159019" type="#_x0000_t136" style="height:25pt;margin-left:150pt;margin-top:605pt;position:absolute;rotation:315;width:125pt;z-index:0" fillcolor="#f7f7f7" strokecolor="#f7f7f7" strokeweight="1pt">
          <v:stroke linestyle="single"/>
          <v:textpath style="font-family:&quot;宋体&quot;;font-size:24pt;font-variant:small-caps" string="内部资料，禁止外传 2024-03-01"/>
        </v:shape>
      </w:pict>
    </w:r>
    <w:r>
      <w:pict>
        <v:shape id="_x0000_s159020" type="#_x0000_t136" style="height:25pt;margin-left:280pt;margin-top:605pt;position:absolute;rotation:315;width:125pt;z-index:0" fillcolor="#f7f7f7" strokecolor="#f7f7f7" strokeweight="1pt">
          <v:stroke linestyle="single"/>
          <v:textpath style="font-family:&quot;宋体&quot;;font-size:24pt;font-variant:small-caps" string="内部资料，禁止外传 2024-03-0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EwZWI4MWY1NzkyN2MwMjA3ZjJlYjIxMDJmMWIwN2Q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paragraph" w:styleId="Heading2">
    <w:name w:val="Heading 2"/>
    <w:basedOn w:val="Normal"/>
    <w:next w:val="Normal"/>
    <w:link w:val="标题2Char"/>
    <w:qFormat/>
    <w:pPr>
      <w:keepNext/>
      <w:keepLines/>
      <w:spacing w:before="260" w:after="260" w:line="416" w:lineRule="auto"/>
      <w:outlineLvl w:val="1"/>
    </w:pPr>
    <w:rPr>
      <w:rFonts w:ascii="Arial" w:eastAsia="黑体" w:hAnsi="Arial" w:cs="宋体"/>
      <w:b/>
      <w:bCs/>
      <w:sz w:val="32"/>
      <w:szCs w:val="32"/>
    </w:rPr>
  </w:style>
  <w:style w:type="character" w:default="1" w:styleId="DefaultParagraphFont">
    <w:name w:val="Default Paragraph Font"/>
    <w:semiHidden/>
    <w:qFormat/>
    <w:rPr/>
  </w:style>
  <w:style w:type="table" w:default="1" w:styleId="NormalTable">
    <w:name w:val="Normal Table"/>
    <w:semiHidden/>
    <w:qFormat/>
    <w:rPr/>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rPr>
  </w:style>
  <w:style w:type="paragraph" w:styleId="Title">
    <w:name w:val="Title"/>
    <w:basedOn w:val="Normal"/>
    <w:next w:val="Normal"/>
    <w:qFormat/>
    <w:pPr>
      <w:spacing w:before="240" w:after="60" w:line="640" w:lineRule="exact"/>
      <w:jc w:val="center"/>
      <w:outlineLvl w:val="0"/>
    </w:pPr>
    <w:rPr>
      <w:rFonts w:ascii="Cambria" w:eastAsia="仿宋_GB2312" w:hAnsi="Cambria"/>
      <w:b/>
      <w:bCs/>
      <w:sz w:val="32"/>
      <w:szCs w:val="32"/>
    </w:rPr>
  </w:style>
  <w:style w:type="table" w:styleId="TableGrid">
    <w:name w:val="Table Grid"/>
    <w:basedOn w:val="NormalTabl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character" w:customStyle="1" w:styleId="标题2Char">
    <w:name w:val="标题 2 Char"/>
    <w:basedOn w:val="DefaultParagraphFont"/>
    <w:link w:val="Heading2"/>
    <w:qFormat/>
    <w:rPr>
      <w:rFonts w:ascii="Arial" w:eastAsia="黑体" w:hAnsi="Arial" w:cs="宋体"/>
      <w:b/>
      <w:bCs/>
      <w:sz w:val="32"/>
      <w:szCs w:val="32"/>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2022-02-22T01:25:00Z</dcterms:created>
  <dc:creator>Eidolon</dc:creator>
  <cp:lastModifiedBy>DELL</cp:lastModifiedBy>
  <dcterms:modified xsi:type="dcterms:W3CDTF">2024-02-27T03:35:22Z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8</Pages>
  <Words>3093</Words>
  <Characters>3200</Characters>
  <Lines>0</Lines>
  <Paragraphs>0</Paragraphs>
  <TotalTime>1</TotalTime>
  <ScaleCrop>false</ScaleCrop>
  <LinksUpToDate>false</LinksUpToDate>
  <CharactersWithSpaces>3296</CharactersWithSpaces>
  <Application>WPS Office_11.8.2.12094_F1E327BC-269C-435d-A152-05C5408002CA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67948B01A0DE434A91C355F3FAAC7BAF</vt:lpwstr>
  </property>
</Properties>
</file>

<file path=customXml/item4.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Exts>
</s:customData>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268AAAB7AFB74961A5F4DB3901652EB8</vt:lpwstr>
  </property>
</Properties>
</file>

<file path=customXml/item6.xml><?xml version="1.0" encoding="utf-8"?>
<Properties xmlns="http://schemas.openxmlformats.org/officeDocument/2006/extended-properties" xmlns:vt="http://schemas.openxmlformats.org/officeDocument/2006/docPropsVTypes">
  <Template>Normal.dotm</Template>
  <Pages>8</Pages>
  <Words>3093</Words>
  <Characters>3200</Characters>
  <Lines>0</Lines>
  <Paragraphs>0</Paragraphs>
  <TotalTime>250</TotalTime>
  <ScaleCrop>false</ScaleCrop>
  <LinksUpToDate>false</LinksUpToDate>
  <CharactersWithSpaces>3296</CharactersWithSpaces>
  <Application>WPS Office_11.1.0.12980_F1E327BC-269C-435d-A152-05C5408002CA</Application>
  <DocSecurity>0</DocSecuri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2022-02-22T01:25:00Z</dcterms:created>
  <dc:creator>Eidolon</dc:creator>
  <cp:lastModifiedBy>蔡煜婷</cp:lastModifiedBy>
  <dcterms:modified xsi:type="dcterms:W3CDTF">2023-03-01T02:19:51Z</dcterms:modified>
  <cp:revision>1</cp:revision>
</cp:core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c67c41-8134-4cb5-a8bf-bef127f1c887}">
  <ds:schemaRefs/>
</ds:datastoreItem>
</file>

<file path=customXml/itemProps6.xml><?xml version="1.0" encoding="utf-8"?>
<ds:datastoreItem xmlns:ds="http://schemas.openxmlformats.org/officeDocument/2006/customXml" ds:itemID="{116b49f6-0e8e-4ddb-9547-bacd9e51ca4b}">
  <ds:schemaRefs/>
</ds:datastoreItem>
</file>

<file path=customXml/itemProps7.xml><?xml version="1.0" encoding="utf-8"?>
<ds:datastoreItem xmlns:ds="http://schemas.openxmlformats.org/officeDocument/2006/customXml" ds:itemID="{bf3985c0-476e-4229-8188-ddf3ef29543e}">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8</Pages>
  <Words>3093</Words>
  <Characters>3200</Characters>
  <Application>WPS Office_11.8.2.12094_F1E327BC-269C-435d-A152-05C5408002CA</Application>
  <DocSecurity>0</DocSecurity>
  <Lines>0</Lines>
  <Paragraphs>0</Paragraphs>
  <CharactersWithSpaces>3296</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Eidolon</dc:creator>
  <cp:lastModifiedBy>DELL</cp:lastModifiedBy>
  <cp:revision>1</cp:revision>
  <dcterms:created xsi:type="dcterms:W3CDTF">2022-02-22T01:25:00Z</dcterms:created>
  <dcterms:modified xsi:type="dcterms:W3CDTF">2024-03-01T04:44:32Z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2052-11.8.2.12094</vt:lpwstr>
  </property>
  <property fmtid="{D5CDD505-2E9C-101B-9397-08002B2CF9AE}" pid="3" name="ICV">
    <vt:lpwstr>67948B01A0DE434A91C355F3FAAC7BAF</vt:lpwstr>
  </property>
</Properties>
</file>