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Heading3"/>
        <w:rPr/>
      </w:pPr>
      <w:r>
        <w:rPr>
          <w:rFonts w:hint="eastAsia"/>
        </w:rPr>
        <w:t xml:space="preserve">关于《国家税务总局关于办理</w:t>
      </w:r>
      <w:r>
        <w:rPr>
          <w:rFonts w:hint="eastAsia"/>
        </w:rPr>
        <w:t xml:space="preserve">2023</w:t>
      </w:r>
      <w:r>
        <w:rPr>
          <w:rFonts w:hint="eastAsia"/>
        </w:rPr>
        <w:t xml:space="preserve">年度个人所得税综合所得汇算清缴事项的公告》的解读</w:t>
      </w:r>
    </w:p>
    <w:p>
      <w:pPr>
        <w:pStyle w:val="普通(网站)Char"/>
        <w:rPr>
          <w:rFonts w:hint="eastAsia"/>
        </w:rPr>
      </w:pPr>
    </w:p>
    <w:p>
      <w:pPr>
        <w:pStyle w:val="普通(网站)Char"/>
        <w:spacing w:before="0" w:beforeAutospacing="0" w:after="0" w:afterAutospacing="0" w:line="240" w:lineRule="atLeast"/>
        <w:ind w:firstLine="420"/>
        <w:jc w:val="both"/>
        <w:rPr>
          <w:rFonts w:hint="eastAsia"/>
        </w:rPr>
      </w:pPr>
      <w:r>
        <w:rPr>
          <w:rFonts w:hint="eastAsia"/>
          <w:shd w:val="clear" w:color="auto" w:fill="FFFFFF"/>
        </w:rPr>
        <w:t xml:space="preserve">为认真落实中央经济工作会议部署，切实维护纳税人合法权益，帮助纳税人顺利规范完成</w:t>
      </w:r>
      <w:r>
        <w:rPr>
          <w:rFonts w:hint="eastAsia"/>
          <w:shd w:val="clear" w:color="auto" w:fill="FFFFFF"/>
        </w:rPr>
        <w:t xml:space="preserve">2023</w:t>
      </w:r>
      <w:r>
        <w:rPr>
          <w:rFonts w:hint="eastAsia"/>
          <w:shd w:val="clear" w:color="auto" w:fill="FFFFFF"/>
        </w:rPr>
        <w:t xml:space="preserve">年度个人所得税综合所得汇算清缴（以下简称汇算），税务总局在充分听取纳税人、扣缴义务人、专家学者和社会公众的意见建议基础上，制发了《国家税务总局关于办理</w:t>
      </w:r>
      <w:r>
        <w:rPr>
          <w:rFonts w:hint="eastAsia"/>
          <w:shd w:val="clear" w:color="auto" w:fill="FFFFFF"/>
        </w:rPr>
        <w:t xml:space="preserve">2023</w:t>
      </w:r>
      <w:r>
        <w:rPr>
          <w:rFonts w:hint="eastAsia"/>
          <w:shd w:val="clear" w:color="auto" w:fill="FFFFFF"/>
        </w:rPr>
        <w:t xml:space="preserve">年度个人所得税综合所得汇算清缴事项的公告》（以下简称《公告》）。现解读如下：</w:t>
      </w:r>
    </w:p>
    <w:p>
      <w:pPr>
        <w:pStyle w:val="普通(网站)Char"/>
        <w:spacing w:before="0" w:beforeAutospacing="0" w:after="0" w:afterAutospacing="0" w:line="240" w:lineRule="atLeast"/>
        <w:ind w:firstLine="640"/>
        <w:jc w:val="both"/>
        <w:rPr>
          <w:rFonts w:hint="eastAsia"/>
        </w:rPr>
      </w:pPr>
      <w:r>
        <w:rPr>
          <w:rFonts w:hint="eastAsia"/>
          <w:b/>
          <w:bCs/>
          <w:shd w:val="clear" w:color="auto" w:fill="FFFFFF"/>
        </w:rPr>
        <w:t xml:space="preserve">一、《公告》的基本框架和主要内容是什么？</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2019</w:t>
      </w:r>
      <w:r>
        <w:rPr>
          <w:rFonts w:hint="eastAsia"/>
          <w:shd w:val="clear" w:color="auto" w:fill="FFFFFF"/>
        </w:rPr>
        <w:t xml:space="preserve">年新个人所得税法施行，标志着我国建立了综合</w:t>
      </w:r>
      <w:r>
        <w:rPr>
          <w:rFonts w:hint="eastAsia"/>
          <w:shd w:val="clear" w:color="auto" w:fill="FFFFFF"/>
        </w:rPr>
        <w:t xml:space="preserve">与分类相结合的个人所得税制。新税法要求年度终了后，纳税人需汇总工资薪金、劳务报酬、稿酬、特许权使用费等四项综合所得合并计税，向税务机关办理汇算并结清应退或应补税款。得益于纳税人、扣缴义务人、中介机构、相关部门等社会各界的共同努力，前四次汇算平稳有序，汇算制度的稳定性和便利性不断提高。因此，《公告》在总体延续前四次汇算公告的基本框架和主要内容的基础上，进一步优化了纳税服务举措，并对汇算中的易错点提示提醒，便于纳税人更便捷、更准确地完成汇算。</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《公告》共有十二条。第一条至第四条，主要明确汇算的内容、无需办理汇算</w:t>
      </w:r>
      <w:r>
        <w:rPr>
          <w:rFonts w:hint="eastAsia"/>
          <w:shd w:val="clear" w:color="auto" w:fill="FFFFFF"/>
        </w:rPr>
        <w:t xml:space="preserve">的情形、需要办理汇算的情形以及纳税人可享受的专项附加扣除、其他扣除等税前扣除；第五条至第九条，主要明确了汇算的办理时间、方式、渠道、申报信息及资料留存、受理税务机关等内容；第十条，主要对办理汇算退（补）税的流程和要求作出具体规定；第十一条，主要围绕税务机关提供的纳税服务、预约办税、优先退税等事项进行说明；第十二条，主要明确有关条款的适用关系。</w:t>
      </w:r>
    </w:p>
    <w:p>
      <w:pPr>
        <w:pStyle w:val="普通(网站)Char"/>
        <w:spacing w:before="0" w:beforeAutospacing="0" w:after="0" w:afterAutospacing="0" w:line="240" w:lineRule="atLeast"/>
        <w:ind w:firstLine="640"/>
        <w:jc w:val="both"/>
        <w:rPr>
          <w:rFonts w:hint="eastAsia"/>
        </w:rPr>
      </w:pPr>
      <w:r>
        <w:rPr>
          <w:rFonts w:hint="eastAsia"/>
          <w:b/>
          <w:bCs/>
          <w:shd w:val="clear" w:color="auto" w:fill="FFFFFF"/>
        </w:rPr>
        <w:t xml:space="preserve">二、与以前年度相比，《公告》的主要变化有哪些？</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《公告》总体上延续了前几次汇算公告的框架与内容。主要的变化有：</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一是在第六条“办理方式”部分，进一步延长汇算代办确认时</w:t>
      </w:r>
      <w:r>
        <w:rPr>
          <w:rFonts w:hint="eastAsia"/>
          <w:shd w:val="clear" w:color="auto" w:fill="FFFFFF"/>
        </w:rPr>
        <w:t xml:space="preserve">间。对纳税人有代办需求的，不再要求其必须在</w:t>
      </w:r>
      <w:r>
        <w:rPr>
          <w:rFonts w:hint="eastAsia"/>
          <w:shd w:val="clear" w:color="auto" w:fill="FFFFFF"/>
        </w:rPr>
        <w:t xml:space="preserve">4</w:t>
      </w:r>
      <w:r>
        <w:rPr>
          <w:rFonts w:hint="eastAsia"/>
          <w:shd w:val="clear" w:color="auto" w:fill="FFFFFF"/>
        </w:rPr>
        <w:t xml:space="preserve">月</w:t>
      </w:r>
      <w:r>
        <w:rPr>
          <w:rFonts w:hint="eastAsia"/>
          <w:shd w:val="clear" w:color="auto" w:fill="FFFFFF"/>
        </w:rPr>
        <w:t xml:space="preserve">30</w:t>
      </w:r>
      <w:r>
        <w:rPr>
          <w:rFonts w:hint="eastAsia"/>
          <w:shd w:val="clear" w:color="auto" w:fill="FFFFFF"/>
        </w:rPr>
        <w:t xml:space="preserve">日前与单位确认委托关系，为纳税人、单位办理汇算留足更加充分的时间。</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二是在第八条“申报信息及资料留存”部分，根据《财政部</w:t>
      </w:r>
      <w:r>
        <w:rPr>
          <w:rFonts w:hint="eastAsia"/>
          <w:shd w:val="clear" w:color="auto" w:fill="FFFFFF"/>
        </w:rPr>
        <w:t xml:space="preserve"> </w:t>
      </w:r>
      <w:r>
        <w:rPr>
          <w:rFonts w:hint="eastAsia"/>
          <w:shd w:val="clear" w:color="auto" w:fill="FFFFFF"/>
        </w:rPr>
        <w:t xml:space="preserve">税务总局关于延续实施上市公司股权激励有关个人所得税政策的公告》（</w:t>
      </w:r>
      <w:r>
        <w:rPr>
          <w:rFonts w:hint="eastAsia"/>
          <w:shd w:val="clear" w:color="auto" w:fill="FFFFFF"/>
        </w:rPr>
        <w:t xml:space="preserve">2023</w:t>
      </w:r>
      <w:r>
        <w:rPr>
          <w:rFonts w:hint="eastAsia"/>
          <w:shd w:val="clear" w:color="auto" w:fill="FFFFFF"/>
        </w:rPr>
        <w:t xml:space="preserve">年第</w:t>
      </w:r>
      <w:r>
        <w:rPr>
          <w:rFonts w:hint="eastAsia"/>
          <w:shd w:val="clear" w:color="auto" w:fill="FFFFFF"/>
        </w:rPr>
        <w:t xml:space="preserve">25</w:t>
      </w:r>
      <w:r>
        <w:rPr>
          <w:rFonts w:hint="eastAsia"/>
          <w:shd w:val="clear" w:color="auto" w:fill="FFFFFF"/>
        </w:rPr>
        <w:t xml:space="preserve">号）的有关规定，股权激励单独计税政策延期至</w:t>
      </w:r>
      <w:r>
        <w:rPr>
          <w:rFonts w:hint="eastAsia"/>
          <w:shd w:val="clear" w:color="auto" w:fill="FFFFFF"/>
        </w:rPr>
        <w:t xml:space="preserve">2027</w:t>
      </w:r>
      <w:r>
        <w:rPr>
          <w:rFonts w:hint="eastAsia"/>
          <w:shd w:val="clear" w:color="auto" w:fill="FFFFFF"/>
        </w:rPr>
        <w:t xml:space="preserve">年底。纳税人一个纳税年度内取得两次以上（含两次）股权激励的，应合并计算纳税，本着便利纳税人操作的原则，《公告》对纳税人取得两次以上股权激励的情形，进一步明确了多次股权激励合并申报的方式、时间和地点。</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三是在第十</w:t>
      </w:r>
      <w:r>
        <w:rPr>
          <w:rFonts w:hint="eastAsia"/>
          <w:shd w:val="clear" w:color="auto" w:fill="FFFFFF"/>
        </w:rPr>
        <w:t xml:space="preserve">条“退（补）税”部分，对未足额申报补缴税款的纳税人，进一步明确了汇算有关文书送达的规定，以督促未申报补税以及未足额缴税的纳税人依法履行纳税义务。</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四是在第十一条“汇算服务”部分，进一步完善了预约办税制度。考虑到今年春节假期较晚，将汇算预约办税起始时间调整为</w:t>
      </w:r>
      <w:r>
        <w:rPr>
          <w:rFonts w:hint="eastAsia"/>
          <w:shd w:val="clear" w:color="auto" w:fill="FFFFFF"/>
        </w:rPr>
        <w:t xml:space="preserve">2</w:t>
      </w:r>
      <w:r>
        <w:rPr>
          <w:rFonts w:hint="eastAsia"/>
          <w:shd w:val="clear" w:color="auto" w:fill="FFFFFF"/>
        </w:rPr>
        <w:t xml:space="preserve">月</w:t>
      </w:r>
      <w:r>
        <w:rPr>
          <w:rFonts w:hint="eastAsia"/>
          <w:shd w:val="clear" w:color="auto" w:fill="FFFFFF"/>
        </w:rPr>
        <w:t xml:space="preserve">21</w:t>
      </w:r>
      <w:r>
        <w:rPr>
          <w:rFonts w:hint="eastAsia"/>
          <w:shd w:val="clear" w:color="auto" w:fill="FFFFFF"/>
        </w:rPr>
        <w:t xml:space="preserve">日。</w:t>
      </w:r>
    </w:p>
    <w:p>
      <w:pPr>
        <w:pStyle w:val="普通(网站)Char"/>
        <w:spacing w:before="0" w:beforeAutospacing="0" w:after="0" w:afterAutospacing="0" w:line="240" w:lineRule="atLeast"/>
        <w:ind w:firstLine="640"/>
        <w:jc w:val="both"/>
        <w:rPr>
          <w:rFonts w:hint="eastAsia"/>
        </w:rPr>
      </w:pPr>
      <w:r>
        <w:rPr>
          <w:rFonts w:hint="eastAsia"/>
          <w:b/>
          <w:bCs/>
          <w:shd w:val="clear" w:color="auto" w:fill="FFFFFF"/>
        </w:rPr>
        <w:t xml:space="preserve">三、今年汇算新推出了哪些优化服务举措？</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今年汇算在持续优化纳税服务的基础上，又新推出了以下便利化举措：</w:t>
      </w:r>
    </w:p>
    <w:p>
      <w:pPr>
        <w:pStyle w:val="普通(网站)Char"/>
        <w:spacing w:before="0" w:beforeAutospacing="0" w:after="0" w:afterAutospacing="0" w:line="240" w:lineRule="atLeast"/>
        <w:ind w:firstLine="642"/>
        <w:jc w:val="both"/>
        <w:rPr>
          <w:rFonts w:hint="eastAsia"/>
        </w:rPr>
      </w:pPr>
      <w:r>
        <w:rPr>
          <w:rStyle w:val="15"/>
          <w:rFonts w:ascii="微软雅黑" w:hAnsi="微软雅黑" w:hint="eastAsia"/>
          <w:bCs/>
          <w:shd w:val="clear" w:color="auto" w:fill="FFFFFF"/>
        </w:rPr>
        <w:t xml:space="preserve">（一）进一步扩大优先退税服务范围。</w:t>
      </w:r>
      <w:r>
        <w:rPr>
          <w:rFonts w:hint="eastAsia"/>
          <w:shd w:val="clear" w:color="auto" w:fill="FFFFFF"/>
        </w:rPr>
        <w:t xml:space="preserve">对年收入额</w:t>
      </w:r>
      <w:r>
        <w:rPr>
          <w:rFonts w:hint="eastAsia"/>
          <w:shd w:val="clear" w:color="auto" w:fill="FFFFFF"/>
        </w:rPr>
        <w:t xml:space="preserve">6</w:t>
      </w:r>
      <w:r>
        <w:rPr>
          <w:rFonts w:hint="eastAsia"/>
          <w:shd w:val="clear" w:color="auto" w:fill="FFFFFF"/>
        </w:rPr>
        <w:t xml:space="preserve">万元以下且已预缴个人所得税的纳税人，在之前年度提供个人所得税</w:t>
      </w:r>
      <w:r>
        <w:rPr>
          <w:rFonts w:hint="eastAsia"/>
          <w:shd w:val="clear" w:color="auto" w:fill="FFFFFF"/>
        </w:rPr>
        <w:t xml:space="preserve">APP</w:t>
      </w:r>
      <w:r>
        <w:rPr>
          <w:rFonts w:hint="eastAsia"/>
          <w:shd w:val="clear" w:color="auto" w:fill="FFFFFF"/>
        </w:rPr>
        <w:t xml:space="preserve">、自然人电子税务局网站简易申报快速办理服务的基础上，进一步提供优先退税服务，不断提升纳税人的获得感。</w:t>
      </w:r>
    </w:p>
    <w:p>
      <w:pPr>
        <w:pStyle w:val="普通(网站)Char"/>
        <w:spacing w:before="0" w:beforeAutospacing="0" w:after="0" w:afterAutospacing="0" w:line="240" w:lineRule="atLeast"/>
        <w:ind w:firstLine="642"/>
        <w:jc w:val="both"/>
        <w:rPr>
          <w:rFonts w:hint="eastAsia"/>
        </w:rPr>
      </w:pPr>
      <w:r>
        <w:rPr>
          <w:rStyle w:val="15"/>
          <w:rFonts w:ascii="微软雅黑" w:hAnsi="微软雅黑" w:hint="eastAsia"/>
          <w:bCs/>
        </w:rPr>
        <w:t xml:space="preserve">（二）进一步拓展汇算申报表项目预填服务。</w:t>
      </w:r>
      <w:r>
        <w:rPr>
          <w:rFonts w:hint="eastAsia"/>
        </w:rPr>
        <w:t xml:space="preserve">依托国家医疗保障局、人力资源和社会保障部向税务部门共享的医疗费用数据、个人养老金数据，为纳税人提供大病医疗专项附加扣除信息、个人养老金信息预填服务，为纳税人提供更好的申报体验。</w:t>
      </w:r>
    </w:p>
    <w:p>
      <w:pPr>
        <w:pStyle w:val="普通(网站)Char"/>
        <w:spacing w:before="0" w:beforeAutospacing="0" w:after="0" w:afterAutospacing="0" w:line="240" w:lineRule="atLeast"/>
        <w:ind w:firstLine="642"/>
        <w:jc w:val="both"/>
        <w:rPr>
          <w:rFonts w:hint="eastAsia"/>
        </w:rPr>
      </w:pPr>
      <w:r>
        <w:rPr>
          <w:rStyle w:val="15"/>
          <w:rFonts w:ascii="微软雅黑" w:hAnsi="微软雅黑" w:hint="eastAsia"/>
          <w:bCs/>
          <w:shd w:val="clear" w:color="auto" w:fill="FFFFFF"/>
        </w:rPr>
        <w:t xml:space="preserve">（三）进一步优化纳税人个税</w:t>
      </w:r>
      <w:r>
        <w:rPr>
          <w:rStyle w:val="15"/>
          <w:rFonts w:ascii="微软雅黑" w:hAnsi="微软雅黑" w:hint="eastAsia"/>
          <w:bCs/>
          <w:shd w:val="clear" w:color="auto" w:fill="FFFFFF"/>
        </w:rPr>
        <w:t xml:space="preserve">APP</w:t>
      </w:r>
      <w:r>
        <w:rPr>
          <w:rStyle w:val="15"/>
          <w:rFonts w:ascii="微软雅黑" w:hAnsi="微软雅黑" w:hint="eastAsia"/>
          <w:bCs/>
          <w:shd w:val="clear" w:color="auto" w:fill="FFFFFF"/>
        </w:rPr>
        <w:t xml:space="preserve">操作体验。</w:t>
      </w:r>
      <w:r>
        <w:rPr>
          <w:rFonts w:hint="eastAsia"/>
          <w:shd w:val="clear" w:color="auto" w:fill="FFFFFF"/>
        </w:rPr>
        <w:t xml:space="preserve">升级个税</w:t>
      </w:r>
      <w:r>
        <w:rPr>
          <w:rFonts w:hint="eastAsia"/>
          <w:shd w:val="clear" w:color="auto" w:fill="FFFFFF"/>
        </w:rPr>
        <w:t xml:space="preserve">APP</w:t>
      </w:r>
      <w:r>
        <w:rPr>
          <w:rFonts w:hint="eastAsia"/>
          <w:shd w:val="clear" w:color="auto" w:fill="FFFFFF"/>
        </w:rPr>
        <w:t xml:space="preserve">版本，重构频道页面，重新设计功能图标，避免业务功能交叉，一体化</w:t>
      </w:r>
      <w:r>
        <w:rPr>
          <w:rFonts w:hint="eastAsia"/>
          <w:shd w:val="clear" w:color="auto" w:fill="FFFFFF"/>
        </w:rPr>
        <w:t xml:space="preserve">展示办</w:t>
      </w:r>
      <w:r>
        <w:rPr>
          <w:rFonts w:hint="eastAsia"/>
          <w:shd w:val="clear" w:color="auto" w:fill="FFFFFF"/>
        </w:rPr>
        <w:t xml:space="preserve">（理）查（询）事项，更加突出“待办”提示，纳税人体验将更加友好。</w:t>
      </w:r>
    </w:p>
    <w:p>
      <w:pPr>
        <w:pStyle w:val="普通(网站)Char"/>
        <w:spacing w:before="0" w:beforeAutospacing="0" w:after="0" w:afterAutospacing="0" w:line="240" w:lineRule="atLeast"/>
        <w:jc w:val="both"/>
        <w:rPr>
          <w:rFonts w:hint="eastAsia"/>
        </w:rPr>
      </w:pPr>
      <w:r>
        <w:rPr>
          <w:rFonts w:hint="eastAsia"/>
          <w:b/>
          <w:bCs/>
          <w:shd w:val="clear" w:color="auto" w:fill="FFFFFF"/>
        </w:rPr>
        <w:t xml:space="preserve"> </w:t>
      </w:r>
      <w:r>
        <w:rPr>
          <w:rFonts w:hint="eastAsia"/>
          <w:b/>
          <w:bCs/>
          <w:shd w:val="clear" w:color="auto" w:fill="FFFFFF"/>
        </w:rPr>
        <w:t xml:space="preserve"> </w:t>
      </w:r>
      <w:r>
        <w:rPr>
          <w:rFonts w:hint="eastAsia"/>
          <w:b/>
          <w:bCs/>
          <w:shd w:val="clear" w:color="auto" w:fill="FFFFFF"/>
        </w:rPr>
        <w:t xml:space="preserve"> </w:t>
      </w:r>
      <w:r>
        <w:rPr>
          <w:rFonts w:hint="eastAsia"/>
          <w:b/>
          <w:bCs/>
          <w:shd w:val="clear" w:color="auto" w:fill="FFFFFF"/>
        </w:rPr>
        <w:t xml:space="preserve"> </w:t>
      </w:r>
      <w:r>
        <w:rPr>
          <w:rFonts w:hint="eastAsia"/>
          <w:b/>
          <w:bCs/>
          <w:shd w:val="clear" w:color="auto" w:fill="FFFFFF"/>
        </w:rPr>
        <w:t xml:space="preserve">四、今年对未依法办理汇算的纳税人有哪些监管措施？</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从近几年汇算情况看，大多数纳税人能够如实填报收入和扣除信息，依法履行纳税义务。但税务部门在核查中也发现，小部分纳税人通过虚假、错误填报收入或扣除，以达到多退税款或少缴税款的目的。在今年汇算中，将从以下几方面加强监管提醒：</w:t>
      </w:r>
    </w:p>
    <w:p>
      <w:pPr>
        <w:pStyle w:val="普通(网站)Char"/>
        <w:spacing w:before="0" w:beforeAutospacing="0" w:after="0" w:afterAutospacing="0" w:line="240" w:lineRule="atLeast"/>
        <w:ind w:firstLine="640"/>
        <w:jc w:val="both"/>
        <w:rPr>
          <w:rFonts w:hint="eastAsia"/>
        </w:rPr>
      </w:pPr>
      <w:r>
        <w:rPr>
          <w:rStyle w:val="15"/>
          <w:rFonts w:ascii="微软雅黑" w:hAnsi="微软雅黑" w:hint="eastAsia"/>
          <w:bCs/>
          <w:shd w:val="clear" w:color="auto" w:fill="FFFFFF"/>
        </w:rPr>
        <w:t xml:space="preserve">（一）加强对错误填报专项附加扣除纳税人的监管提醒。</w:t>
      </w:r>
      <w:r>
        <w:rPr>
          <w:rFonts w:hint="eastAsia"/>
          <w:shd w:val="clear" w:color="auto" w:fill="FFFFFF"/>
        </w:rPr>
        <w:t xml:space="preserve">对于不按照规定填报专项附加扣除的情形，比如存在夫妻双方各自按照</w:t>
      </w:r>
      <w:r>
        <w:rPr>
          <w:rFonts w:hint="eastAsia"/>
          <w:shd w:val="clear" w:color="auto" w:fill="FFFFFF"/>
        </w:rPr>
        <w:t xml:space="preserve">100%</w:t>
      </w:r>
      <w:r>
        <w:rPr>
          <w:rFonts w:hint="eastAsia"/>
          <w:shd w:val="clear" w:color="auto" w:fill="FFFFFF"/>
        </w:rPr>
        <w:t xml:space="preserve">比例填报子女教育专项附加扣除、或者篡改证明资料享受大病医疗专项附加扣除等，一经发现，税务机关将通过个税</w:t>
      </w:r>
      <w:r>
        <w:rPr>
          <w:rFonts w:hint="eastAsia"/>
          <w:shd w:val="clear" w:color="auto" w:fill="FFFFFF"/>
        </w:rPr>
        <w:t xml:space="preserve">APP</w:t>
      </w:r>
      <w:r>
        <w:rPr>
          <w:rFonts w:hint="eastAsia"/>
          <w:shd w:val="clear" w:color="auto" w:fill="FFFFFF"/>
        </w:rPr>
        <w:t xml:space="preserve">、网站或扣缴义务人等渠道进行提示提醒。纳税人新增享受扣除或者税收优惠的，应当一并填报相关信息、提供佐证材料。纳税人拒不更正或者不说明情况的，税务机关将按照《财政部</w:t>
      </w:r>
      <w:r>
        <w:rPr>
          <w:rFonts w:hint="eastAsia"/>
          <w:shd w:val="clear" w:color="auto" w:fill="FFFFFF"/>
        </w:rPr>
        <w:t xml:space="preserve"> </w:t>
      </w:r>
      <w:r>
        <w:rPr>
          <w:rFonts w:hint="eastAsia"/>
          <w:shd w:val="clear" w:color="auto" w:fill="FFFFFF"/>
        </w:rPr>
        <w:t xml:space="preserve">税务总局关于个人所得税综合所得汇算清缴涉及有关政策问题的公告》（</w:t>
      </w:r>
      <w:r>
        <w:rPr>
          <w:rFonts w:hint="eastAsia"/>
          <w:shd w:val="clear" w:color="auto" w:fill="FFFFFF"/>
        </w:rPr>
        <w:t xml:space="preserve">2019</w:t>
      </w:r>
      <w:r>
        <w:rPr>
          <w:rFonts w:hint="eastAsia"/>
          <w:shd w:val="clear" w:color="auto" w:fill="FFFFFF"/>
        </w:rPr>
        <w:t xml:space="preserve">年第</w:t>
      </w:r>
      <w:r>
        <w:rPr>
          <w:rFonts w:hint="eastAsia"/>
          <w:shd w:val="clear" w:color="auto" w:fill="FFFFFF"/>
        </w:rPr>
        <w:t xml:space="preserve">94</w:t>
      </w:r>
      <w:r>
        <w:rPr>
          <w:rFonts w:hint="eastAsia"/>
          <w:shd w:val="clear" w:color="auto" w:fill="FFFFFF"/>
        </w:rPr>
        <w:t xml:space="preserve">号）规定暂停其享受专项附加扣除。纳税人按规定更正相关信息或者说明情况后，可继续享受专项附加扣除。</w:t>
      </w:r>
    </w:p>
    <w:p>
      <w:pPr>
        <w:pStyle w:val="普通(网站)Char"/>
        <w:spacing w:before="0" w:beforeAutospacing="0" w:after="0" w:afterAutospacing="0" w:line="240" w:lineRule="atLeast"/>
        <w:ind w:firstLine="642"/>
        <w:jc w:val="both"/>
        <w:rPr>
          <w:rFonts w:hint="eastAsia"/>
        </w:rPr>
      </w:pPr>
      <w:r>
        <w:rPr>
          <w:rStyle w:val="15"/>
          <w:rFonts w:ascii="微软雅黑" w:hAnsi="微软雅黑" w:hint="eastAsia"/>
          <w:bCs/>
          <w:shd w:val="clear" w:color="auto" w:fill="FFFFFF"/>
        </w:rPr>
        <w:t xml:space="preserve">（二）加强对未申报补税或未足额补税纳税人的监管提醒。</w:t>
      </w:r>
      <w:r>
        <w:rPr>
          <w:rFonts w:hint="eastAsia"/>
          <w:shd w:val="clear" w:color="auto" w:fill="FFFFFF"/>
        </w:rPr>
        <w:t xml:space="preserve">对</w:t>
      </w:r>
      <w:r>
        <w:rPr>
          <w:rFonts w:hint="eastAsia"/>
          <w:shd w:val="clear" w:color="auto" w:fill="FFFFFF"/>
        </w:rPr>
        <w:t xml:space="preserve">于汇算需补税的纳税人，在汇算期结束后未申报补税或未足额补税的，一经发现，税务机关将依法通过手机个税</w:t>
      </w:r>
      <w:r>
        <w:rPr>
          <w:rFonts w:hint="eastAsia"/>
          <w:shd w:val="clear" w:color="auto" w:fill="FFFFFF"/>
        </w:rPr>
        <w:t xml:space="preserve">APP</w:t>
      </w:r>
      <w:r>
        <w:rPr>
          <w:rFonts w:hint="eastAsia"/>
          <w:shd w:val="clear" w:color="auto" w:fill="FFFFFF"/>
        </w:rPr>
        <w:t xml:space="preserve">、网站等电子渠道及其他方式向纳税人送达税务文书，责令其限期改正，并依法加收滞纳金，同时在其个人所得税《纳税记录》中予以标注。</w:t>
      </w:r>
    </w:p>
    <w:p>
      <w:pPr>
        <w:pStyle w:val="普通(网站)Char"/>
        <w:spacing w:before="0" w:beforeAutospacing="0" w:after="0" w:afterAutospacing="0" w:line="240" w:lineRule="atLeast"/>
        <w:ind w:firstLine="640"/>
        <w:jc w:val="both"/>
        <w:rPr>
          <w:rFonts w:hint="eastAsia"/>
        </w:rPr>
      </w:pPr>
      <w:r>
        <w:rPr>
          <w:rFonts w:hint="eastAsia"/>
          <w:shd w:val="clear" w:color="auto" w:fill="FFFFFF"/>
        </w:rPr>
        <w:t xml:space="preserve">请广大纳税人依法如实办理个税汇算，并按照法律规定切实对提交信息的真实性、准确性、完整性负责。对于存在虚假填报、篡改证明材料等严重情节的，税务部门将依法严肃处理，并纳入税收监管重点人员名单，对其以后</w:t>
      </w:r>
      <w:r>
        <w:rPr>
          <w:rFonts w:hint="eastAsia"/>
          <w:shd w:val="clear" w:color="auto" w:fill="FFFFFF"/>
        </w:rPr>
        <w:t xml:space="preserve">3</w:t>
      </w:r>
      <w:r>
        <w:rPr>
          <w:rFonts w:hint="eastAsia"/>
          <w:shd w:val="clear" w:color="auto" w:fill="FFFFFF"/>
        </w:rPr>
        <w:t xml:space="preserve">个纳税年度申报情况加强审核；情节恶劣的，税务机关将依法依规立案稽查。</w:t>
      </w:r>
    </w:p>
    <w:p>
      <w:pPr>
        <w:pStyle w:val="普通(网站)Char"/>
        <w:spacing w:before="0" w:beforeAutospacing="0" w:after="0" w:afterAutospacing="0" w:line="240" w:lineRule="atLeast"/>
        <w:jc w:val="both"/>
        <w:rPr>
          <w:rFonts w:hint="eastAsia"/>
        </w:rPr>
      </w:pPr>
      <w:r>
        <w:rPr>
          <w:rFonts w:hint="eastAsia"/>
        </w:rPr>
        <w:t xml:space="preserve"> </w:t>
      </w:r>
      <w:bookmarkStart w:id="0" w:name="_GoBack"/>
      <w:bookmarkEnd w:id="0"/>
      <w:r>
        <w:rPr>
          <w:rFonts w:hint="eastAsia"/>
          <w:vanish/>
        </w:rPr>
        <w:t xml:space="preserve"> </w:t>
      </w:r>
    </w:p>
    <w:sectPr>
      <w:headerReference w:type="default" r:id="rId4"/>
      <w:pgSz w:w="11906" w:h="16839" w:orient="portrait"/>
      <w:pgMar w:top="1440" w:right="1800" w:bottom="1440" w:left="1800" w:header="851" w:footer="992" w:gutter="0"/>
      <w:cols w:num="1" w:space="425">
        <w:col w:w="8306" w:space="425"/>
      </w:cols>
      <w:docGrid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Auto"/>
    <w:pitch w:val="variable"/>
    <w:sig w:usb0="E4002EFF" w:usb1="C000247B" w:usb2="00000009" w:usb3="00000000" w:csb0="000001FF" w:csb1="00000000"/>
  </w:font>
  <w:font w:name="Courier New">
    <w:panose1 w:val="02070309020205020404"/>
    <w:charset w:val="00"/>
    <w:family w:val="Auto"/>
    <w:pitch w:val="fixed"/>
    <w:sig w:usb0="E0002EFF" w:usb1="C0007843"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_x0000_s159033" type="#_x0000_t136" style="height:25pt;margin-left:20pt;margin-top:5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34" type="#_x0000_t136" style="height:25pt;margin-left:150pt;margin-top:5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35" type="#_x0000_t136" style="height:25pt;margin-left:280pt;margin-top:5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36" type="#_x0000_t136" style="height:25pt;margin-left:20pt;margin-top:23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37" type="#_x0000_t136" style="height:25pt;margin-left:150pt;margin-top:23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38" type="#_x0000_t136" style="height:25pt;margin-left:280pt;margin-top:23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39" type="#_x0000_t136" style="height:25pt;margin-left:20pt;margin-top:42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40" type="#_x0000_t136" style="height:25pt;margin-left:150pt;margin-top:42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41" type="#_x0000_t136" style="height:25pt;margin-left:280pt;margin-top:420pt;position:absolute;rotation:315;width:125pt;z-index:0" fillcolor="#f7f7f7" strokecolor="#f7f7f7" strokeweight="1pt">
          <v:stroke linestyle="single"/>
          <v:textpath style="font-family:&quot;宋体&quot;;font-size:24pt;font-variant:small-caps" string="内部资料，禁止外传 2024-03-01"/>
        </v:shape>
      </w:pict>
    </w:r>
    <w:r>
      <w:pict>
        <v:shape id="_x0000_s159042" type="#_x0000_t136" style="height:25pt;margin-left:20pt;margin-top:60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43" type="#_x0000_t136" style="height:25pt;margin-left:150pt;margin-top:605pt;position:absolute;rotation:315;width:125pt;z-index:0" fillcolor="#f7f7f7" strokecolor="#f7f7f7" strokeweight="1pt">
          <v:stroke linestyle="single"/>
          <v:textpath style="font-family:&quot;宋体&quot;;font-size:24pt;font-variant:small-caps" string="内部资料，禁止外传 2024-03-01"/>
        </v:shape>
      </w:pict>
    </w:r>
    <w:r>
      <w:pict>
        <v:shape id="_x0000_s159044" type="#_x0000_t136" style="height:25pt;margin-left:280pt;margin-top:605pt;position:absolute;rotation:315;width:125pt;z-index:0" fillcolor="#f7f7f7" strokecolor="#f7f7f7" strokeweight="1pt">
          <v:stroke linestyle="single"/>
          <v:textpath style="font-family:&quot;宋体&quot;;font-size:24pt;font-variant:small-caps" string="内部资料，禁止外传 2024-03-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bordersDoNotSurroundFooter/>
  <w:bordersDoNotSurroundHeader/>
  <w:doNotTrackMoves/>
  <w:defaultTabStop w:val="420"/>
  <w:drawingGridVerticalSpacing w:val="156"/>
  <w:displayHorizontalDrawingGridEvery w:val="0"/>
  <w:displayVerticalDrawingGridEvery w:val="2"/>
  <w:noPunctuationKerning/>
  <w:characterSpacingControl w:val="doNotCompress"/>
  <w:compat>
    <w:doNotSnapToGridInCell/>
    <w:doNotWrapTextWithPunct/>
    <w:doNotUseEastAsianBreakRules/>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eastAsiaTheme="minorEastAsia" w:cs="Times New Roman"/>
        <w:lang w:val="en-US" w:eastAsia="zh-CN" w:bidi="ar-SA"/>
      </w:rPr>
    </w:rPrDefault>
    <w:pPrDefault/>
  </w:docDefaults>
  <w:latentStyles w:defLockedState="0" w:defUIPriority="99" w:defSemiHidden="0" w:defUnhideWhenUsed="0" w:defQFormat="0" w:count="371">
    <w:lsdException w:name="Normal"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Variable" w:uiPriority="0"/>
    <w:lsdException w:name="Normal Table" w:semiHidden="1" w:unhideWhenUsed="1"/>
    <w:lsdException w:name="annotation subject" w:uiPriority="0"/>
    <w:lsdException w:name="No List"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宋体" w:eastAsia="宋体" w:hAnsi="宋体" w:cs="宋体"/>
      <w:sz w:val="24"/>
      <w:szCs w:val="24"/>
    </w:rPr>
  </w:style>
  <w:style w:type="paragraph" w:styleId="Heading1">
    <w:name w:val="Heading 1"/>
    <w:basedOn w:val="Normal"/>
    <w:next w:val="Normal"/>
    <w:qFormat/>
    <w:pPr>
      <w:spacing w:before="100" w:beforeAutospacing="1" w:after="100" w:afterAutospacing="1"/>
      <w:outlineLvl w:val="0"/>
    </w:pPr>
    <w:rPr>
      <w:b/>
      <w:bCs/>
      <w:kern w:val="44"/>
      <w:sz w:val="48"/>
      <w:szCs w:val="48"/>
    </w:rPr>
  </w:style>
  <w:style w:type="paragraph" w:styleId="Heading2">
    <w:name w:val="Heading 2"/>
    <w:basedOn w:val="Normal"/>
    <w:next w:val="Normal"/>
    <w:qFormat/>
    <w:pPr>
      <w:spacing w:before="100" w:beforeAutospacing="1" w:after="100" w:afterAutospacing="1"/>
      <w:outlineLvl w:val="1"/>
    </w:pPr>
    <w:rPr>
      <w:b/>
      <w:bCs/>
      <w:sz w:val="36"/>
      <w:szCs w:val="36"/>
    </w:rPr>
  </w:style>
  <w:style w:type="paragraph" w:styleId="Heading3">
    <w:name w:val="Heading 3"/>
    <w:basedOn w:val="Normal"/>
    <w:next w:val="Normal"/>
    <w:qFormat/>
    <w:pPr>
      <w:spacing w:before="100" w:beforeAutospacing="1" w:after="100" w:afterAutospacing="1" w:line="900" w:lineRule="atLeast"/>
      <w:jc w:val="center"/>
      <w:outlineLvl w:val="2"/>
    </w:pPr>
    <w:rPr>
      <w:b/>
      <w:bCs/>
      <w:color w:val="323534"/>
      <w:sz w:val="36"/>
      <w:szCs w:val="36"/>
    </w:rPr>
  </w:style>
  <w:style w:type="paragraph" w:styleId="Heading4">
    <w:name w:val="Heading 4"/>
    <w:basedOn w:val="Normal"/>
    <w:next w:val="Normal"/>
    <w:qFormat/>
    <w:pPr>
      <w:spacing w:before="100" w:beforeAutospacing="1" w:after="100" w:afterAutospacing="1"/>
      <w:outlineLvl w:val="3"/>
    </w:pPr>
    <w:rPr>
      <w:b/>
      <w:bCs/>
    </w:rPr>
  </w:style>
  <w:style w:type="paragraph" w:styleId="Heading5">
    <w:name w:val="Heading 5"/>
    <w:basedOn w:val="Normal"/>
    <w:next w:val="Normal"/>
    <w:qFormat/>
    <w:pPr>
      <w:spacing w:before="100" w:beforeAutospacing="1" w:after="100" w:afterAutospacing="1"/>
      <w:outlineLvl w:val="4"/>
    </w:pPr>
    <w:rPr>
      <w:b/>
      <w:bCs/>
      <w:sz w:val="20"/>
      <w:szCs w:val="20"/>
    </w:rPr>
  </w:style>
  <w:style w:type="paragraph" w:styleId="Heading6">
    <w:name w:val="Heading 6"/>
    <w:basedOn w:val="Normal"/>
    <w:next w:val="Normal"/>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customStyle="1" w:styleId="标题1Char">
    <w:name w:val="标题 1 Char"/>
    <w:basedOn w:val="DefaultParagraphFont"/>
    <w:rPr>
      <w:rFonts w:ascii="宋体" w:eastAsia="宋体" w:hAnsi="宋体" w:cs="宋体"/>
      <w:b/>
      <w:bCs/>
      <w:kern w:val="44"/>
      <w:sz w:val="44"/>
      <w:szCs w:val="44"/>
    </w:rPr>
  </w:style>
  <w:style w:type="character" w:customStyle="1" w:styleId="标题2Char">
    <w:name w:val="标题 2 Char"/>
    <w:basedOn w:val="DefaultParagraphFont"/>
    <w:rPr>
      <w:rFonts w:ascii="Calibri Light" w:eastAsia="宋体" w:hAnsi="Calibri Light" w:asciiTheme="majorHAnsi" w:eastAsiaTheme="majorEastAsia" w:hAnsiTheme="majorHAnsi" w:cs="Times New Roman" w:cstheme="majorBidi"/>
      <w:b/>
      <w:bCs/>
      <w:sz w:val="32"/>
      <w:szCs w:val="32"/>
    </w:rPr>
  </w:style>
  <w:style w:type="character" w:customStyle="1" w:styleId="标题3Char">
    <w:name w:val="标题 3 Char"/>
    <w:basedOn w:val="DefaultParagraphFont"/>
    <w:rPr>
      <w:rFonts w:ascii="宋体" w:eastAsia="宋体" w:hAnsi="宋体" w:cs="宋体"/>
      <w:b/>
      <w:bCs/>
      <w:sz w:val="32"/>
      <w:szCs w:val="32"/>
    </w:rPr>
  </w:style>
  <w:style w:type="character" w:customStyle="1" w:styleId="标题4Char">
    <w:name w:val="标题 4 Char"/>
    <w:basedOn w:val="DefaultParagraphFont"/>
    <w:rPr>
      <w:rFonts w:ascii="Calibri Light" w:eastAsia="宋体" w:hAnsi="Calibri Light" w:asciiTheme="majorHAnsi" w:eastAsiaTheme="majorEastAsia" w:hAnsiTheme="majorHAnsi" w:cs="Times New Roman" w:cstheme="majorBidi"/>
      <w:b/>
      <w:bCs/>
      <w:sz w:val="28"/>
      <w:szCs w:val="28"/>
    </w:rPr>
  </w:style>
  <w:style w:type="character" w:customStyle="1" w:styleId="标题5Char">
    <w:name w:val="标题 5 Char"/>
    <w:basedOn w:val="DefaultParagraphFont"/>
    <w:rPr>
      <w:rFonts w:ascii="宋体" w:eastAsia="宋体" w:hAnsi="宋体" w:cs="宋体"/>
      <w:b/>
      <w:bCs/>
      <w:sz w:val="28"/>
      <w:szCs w:val="28"/>
    </w:rPr>
  </w:style>
  <w:style w:type="character" w:customStyle="1" w:styleId="标题6Char">
    <w:name w:val="标题 6 Char"/>
    <w:basedOn w:val="DefaultParagraphFont"/>
    <w:rPr>
      <w:rFonts w:ascii="Calibri Light" w:eastAsia="宋体" w:hAnsi="Calibri Light" w:asciiTheme="majorHAnsi" w:eastAsiaTheme="majorEastAsia" w:hAnsiTheme="majorHAnsi" w:cs="Times New Roman" w:cstheme="majorBidi"/>
      <w:b/>
      <w:bCs/>
      <w:sz w:val="24"/>
      <w:szCs w:val="24"/>
    </w:rPr>
  </w:style>
  <w:style w:type="paragraph" w:styleId="HTMLPreformatted">
    <w:name w:val="HTML Preformatted"/>
    <w:basedOn w:val="Normal"/>
    <w:rPr/>
  </w:style>
  <w:style w:type="character" w:customStyle="1" w:styleId="HTML预设格式Char">
    <w:name w:val="HTML 预设格式 Char"/>
    <w:basedOn w:val="DefaultParagraphFont"/>
    <w:rPr>
      <w:rFonts w:ascii="Courier New" w:eastAsia="宋体" w:hAnsi="Courier New" w:cs="Courier New"/>
    </w:rPr>
  </w:style>
  <w:style w:type="paragraph" w:styleId="Normal(Web)">
    <w:name w:val="Normal (Web)"/>
    <w:basedOn w:val="Normal"/>
    <w:pPr>
      <w:spacing w:before="100" w:beforeAutospacing="1" w:after="100" w:afterAutospacing="1"/>
    </w:pPr>
    <w:rPr>
      <w:rFonts w:ascii="微软雅黑" w:eastAsia="微软雅黑" w:hAnsi="微软雅黑"/>
      <w:color w:val="333333"/>
      <w:sz w:val="27"/>
      <w:szCs w:val="27"/>
    </w:rPr>
  </w:style>
  <w:style w:type="paragraph" w:customStyle="1" w:styleId="jcjy">
    <w:name w:val="jcjy"/>
    <w:basedOn w:val="Normal"/>
    <w:rPr>
      <w:vanish/>
    </w:rPr>
  </w:style>
  <w:style w:type="paragraph" w:customStyle="1" w:styleId="func">
    <w:name w:val="func"/>
    <w:basedOn w:val="Normal"/>
    <w:rPr>
      <w:vanish/>
    </w:rPr>
  </w:style>
  <w:style w:type="paragraph" w:customStyle="1" w:styleId="普通(网站)Char">
    <w:name w:val="普通(网站) Char"/>
    <w:basedOn w:val="Normal"/>
    <w:qFormat/>
    <w:pPr>
      <w:spacing w:before="100" w:beforeAutospacing="1" w:after="100" w:afterAutospacing="1"/>
    </w:pPr>
    <w:rPr>
      <w:rFonts w:ascii="微软雅黑" w:eastAsia="微软雅黑" w:hAnsi="微软雅黑"/>
      <w:color w:val="333333"/>
      <w:sz w:val="27"/>
      <w:szCs w:val="27"/>
    </w:rPr>
  </w:style>
  <w:style w:type="paragraph" w:customStyle="1" w:styleId="HTML预设格式Char1">
    <w:name w:val="HTML 预设格式 Char1"/>
    <w:basedOn w:val="Normal"/>
    <w:rPr/>
  </w:style>
  <w:style w:type="paragraph" w:customStyle="1" w:styleId="actfwzh">
    <w:name w:val="actfwzh"/>
    <w:basedOn w:val="Normal"/>
    <w:pPr>
      <w:spacing w:before="225" w:after="225"/>
      <w:jc w:val="center"/>
    </w:pPr>
    <w:rPr>
      <w:color w:val="000000"/>
      <w:sz w:val="27"/>
      <w:szCs w:val="27"/>
    </w:rPr>
  </w:style>
  <w:style w:type="paragraph" w:customStyle="1" w:styleId="wechat-qrcode">
    <w:name w:val="wechat-qrcode"/>
    <w:basedOn w:val="Normal"/>
    <w:rPr>
      <w:vanish/>
    </w:rPr>
  </w:style>
  <w:style w:type="paragraph" w:customStyle="1" w:styleId="sets">
    <w:name w:val="sets"/>
    <w:basedOn w:val="Normal"/>
    <w:rPr>
      <w:vanish/>
    </w:rPr>
  </w:style>
  <w:style w:type="paragraph" w:customStyle="1" w:styleId="gzh">
    <w:name w:val="gzh"/>
    <w:basedOn w:val="Normal"/>
    <w:pPr>
      <w:jc w:val="center"/>
    </w:pPr>
    <w:rPr/>
  </w:style>
  <w:style w:type="paragraph" w:customStyle="1" w:styleId="tl">
    <w:name w:val="tl"/>
    <w:basedOn w:val="Normal"/>
    <w:pPr>
      <w:shd w:val="clear" w:color="auto" w:fill="D9E5F9"/>
      <w:spacing w:line="600" w:lineRule="atLeast"/>
      <w:ind w:firstLine="450"/>
    </w:pPr>
    <w:rPr>
      <w:b/>
      <w:bCs/>
      <w:color w:val="35569D"/>
      <w:sz w:val="27"/>
      <w:szCs w:val="27"/>
    </w:rPr>
  </w:style>
  <w:style w:type="paragraph" w:customStyle="1" w:styleId="xg">
    <w:name w:val="xg"/>
    <w:basedOn w:val="Normal"/>
    <w:rPr/>
  </w:style>
  <w:style w:type="paragraph" w:customStyle="1" w:styleId="arc_date">
    <w:name w:val="arc_date"/>
    <w:basedOn w:val="Normal"/>
    <w:pPr>
      <w:spacing w:line="600" w:lineRule="atLeast"/>
      <w:jc w:val="right"/>
    </w:pPr>
    <w:rPr/>
  </w:style>
  <w:style w:type="paragraph" w:customStyle="1" w:styleId="num_fs">
    <w:name w:val="num_fs"/>
    <w:basedOn w:val="Normal"/>
    <w:rPr>
      <w:vanish/>
    </w:rPr>
  </w:style>
  <w:style w:type="paragraph" w:customStyle="1" w:styleId="share">
    <w:name w:val="share"/>
    <w:basedOn w:val="Normal"/>
    <w:rPr>
      <w:vanish/>
    </w:rPr>
  </w:style>
  <w:style w:type="character" w:customStyle="1" w:styleId="10">
    <w:name w:val="10"/>
    <w:basedOn w:val="DefaultParagraphFont"/>
    <w:rPr>
      <w:rFonts w:ascii="Wingdings" w:hAnsi="Wingdings" w:hint="default"/>
    </w:rPr>
  </w:style>
  <w:style w:type="character" w:customStyle="1" w:styleId="15">
    <w:name w:val="15"/>
    <w:basedOn w:val="DefaultParagraphFont"/>
    <w:rPr>
      <w:rFonts w:ascii="Times New Roman" w:hAnsi="Times New Roman" w:cs="Times New Roman" w:hint="default"/>
      <w:b/>
    </w:rPr>
  </w:style>
  <w:style w:type="character" w:customStyle="1" w:styleId="16">
    <w:name w:val="16"/>
    <w:basedOn w:val="DefaultParagraphFont"/>
    <w:rPr>
      <w:rFonts w:ascii="Wingdings" w:hAnsi="Wingdings" w:hint="default"/>
      <w:color w:val="0000FF"/>
      <w:u w:val="single"/>
    </w:rPr>
  </w:style>
  <w:style w:type="character" w:customStyle="1" w:styleId="17">
    <w:name w:val="17"/>
    <w:basedOn w:val="DefaultParagraphFont"/>
    <w:rPr>
      <w:rFonts w:ascii="Times New Roman" w:hAnsi="Times New Roman" w:cs="Times New Roman" w:hint="default"/>
    </w:rPr>
  </w:style>
  <w:style w:type="character" w:customStyle="1" w:styleId="18">
    <w:name w:val="18"/>
    <w:basedOn w:val="DefaultParagraphFont"/>
    <w:rPr>
      <w:rFonts w:ascii="Times New Roman" w:hAnsi="Times New Roman" w:cs="Times New Roman" w:hint="default"/>
      <w:color w:val="0000FF"/>
      <w:u w:val="single"/>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页眉Char"/>
    <w:rsid w:val="009B7164"/>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link w:val="Header"/>
    <w:rsid w:val="009B7164"/>
    <w:rPr>
      <w:rFonts w:ascii="宋体" w:eastAsia="宋体" w:hAnsi="宋体" w:cs="宋体"/>
      <w:sz w:val="18"/>
      <w:szCs w:val="18"/>
    </w:rPr>
  </w:style>
  <w:style w:type="paragraph" w:styleId="Footer">
    <w:name w:val="Footer"/>
    <w:basedOn w:val="Normal"/>
    <w:link w:val="页脚Char"/>
    <w:rsid w:val="009B7164"/>
    <w:pPr>
      <w:tabs>
        <w:tab w:val="center" w:pos="4153"/>
        <w:tab w:val="right" w:pos="8306"/>
      </w:tabs>
      <w:snapToGrid w:val="0"/>
    </w:pPr>
    <w:rPr>
      <w:sz w:val="18"/>
      <w:szCs w:val="18"/>
    </w:rPr>
  </w:style>
  <w:style w:type="character" w:customStyle="1" w:styleId="页脚Char">
    <w:name w:val="页脚 Char"/>
    <w:basedOn w:val="DefaultParagraphFont"/>
    <w:link w:val="Footer"/>
    <w:rsid w:val="009B7164"/>
    <w:rPr>
      <w:rFonts w:ascii="宋体" w:eastAsia="宋体" w:hAnsi="宋体" w:cs="宋体"/>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tangc</cp:lastModifiedBy>
  <cp:revision>2</cp:revision>
  <dcterms:created xsi:type="dcterms:W3CDTF">2024-02-29T03:17:00Z</dcterms:created>
  <dcterms:modified xsi:type="dcterms:W3CDTF">2024-02-29T03:17:00Z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B07912FA7E654C23872B4BD7FCC0EA6A</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3</Pages>
  <Words>331</Words>
  <Characters>1889</Characters>
  <Application>Microsoft Office Word</Application>
  <DocSecurity>0</DocSecurity>
  <Lines>15</Lines>
  <Paragraphs>4</Paragraphs>
  <CharactersWithSpaces>2216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tangc</cp:lastModifiedBy>
  <cp:revision>2</cp:revision>
  <dcterms:created xsi:type="dcterms:W3CDTF">2024-02-29T03:17:00Z</dcterms:created>
  <dcterms:modified xsi:type="dcterms:W3CDTF">2024-03-01T04:44:37Z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2052-11.8.2.12094</vt:lpwstr>
  </property>
  <property fmtid="{D5CDD505-2E9C-101B-9397-08002B2CF9AE}" pid="3" name="ICV">
    <vt:lpwstr>B07912FA7E654C23872B4BD7FCC0EA6A</vt:lpwstr>
  </property>
</Properties>
</file>