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4" w:type="pct"/>
        <w:tblCellSpacing w:w="0" w:type="dxa"/>
        <w:tblLayout w:type="fixed"/>
        <w:tblCellMar>
          <w:left w:w="0" w:type="dxa"/>
          <w:right w:w="0" w:type="dxa"/>
        </w:tblCellMar>
        <w:tblLook w:val="04A0" w:firstRow="1" w:lastRow="0" w:firstColumn="1" w:lastColumn="0" w:noHBand="0" w:noVBand="1"/>
      </w:tblPr>
      <w:tblGrid>
        <w:gridCol w:w="1048"/>
        <w:gridCol w:w="2358"/>
        <w:gridCol w:w="1158"/>
        <w:gridCol w:w="1226"/>
        <w:gridCol w:w="1009"/>
        <w:gridCol w:w="1497"/>
      </w:tblGrid>
      <w:tr w:rsidR="00FC5B9F" w:rsidRPr="00FC5B9F" w:rsidTr="00D30F1E">
        <w:trPr>
          <w:tblCellSpacing w:w="0" w:type="dxa"/>
        </w:trPr>
        <w:tc>
          <w:tcPr>
            <w:tcW w:w="632" w:type="pct"/>
            <w:hideMark/>
          </w:tcPr>
          <w:p w:rsidR="00FC5B9F" w:rsidRPr="00FC5B9F" w:rsidRDefault="00D30F1E" w:rsidP="00FC5B9F">
            <w:pPr>
              <w:widowControl/>
              <w:spacing w:line="375" w:lineRule="atLeast"/>
              <w:jc w:val="left"/>
              <w:rPr>
                <w:rFonts w:ascii="宋体" w:eastAsia="宋体" w:hAnsi="宋体" w:cs="宋体"/>
                <w:b/>
                <w:bCs/>
                <w:color w:val="4B4B4B"/>
                <w:kern w:val="0"/>
                <w:szCs w:val="21"/>
              </w:rPr>
            </w:pPr>
            <w:r>
              <w:rPr>
                <w:rFonts w:ascii="宋体" w:eastAsia="宋体" w:hAnsi="宋体" w:cs="宋体"/>
                <w:b/>
                <w:bCs/>
                <w:color w:val="4B4B4B"/>
                <w:kern w:val="0"/>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eastAsia="宋体" w:hAnsi="宋体" w:cs="宋体"/>
                <w:b/>
                <w:bCs/>
                <w:color w:val="4B4B4B"/>
                <w:kern w:val="0"/>
                <w:szCs w:val="21"/>
              </w:rPr>
              <w:instrText>ADDIN CNKISM.UserStyle</w:instrText>
            </w:r>
            <w:r>
              <w:rPr>
                <w:rFonts w:ascii="宋体" w:eastAsia="宋体" w:hAnsi="宋体" w:cs="宋体"/>
                <w:b/>
                <w:bCs/>
                <w:color w:val="4B4B4B"/>
                <w:kern w:val="0"/>
                <w:szCs w:val="21"/>
              </w:rPr>
            </w:r>
            <w:r>
              <w:rPr>
                <w:rFonts w:ascii="宋体" w:eastAsia="宋体" w:hAnsi="宋体" w:cs="宋体"/>
                <w:b/>
                <w:bCs/>
                <w:color w:val="4B4B4B"/>
                <w:kern w:val="0"/>
                <w:szCs w:val="21"/>
              </w:rPr>
              <w:fldChar w:fldCharType="separate"/>
            </w:r>
            <w:r>
              <w:rPr>
                <w:rFonts w:ascii="宋体" w:eastAsia="宋体" w:hAnsi="宋体" w:cs="宋体"/>
                <w:b/>
                <w:bCs/>
                <w:color w:val="4B4B4B"/>
                <w:kern w:val="0"/>
                <w:szCs w:val="21"/>
              </w:rPr>
              <w:fldChar w:fldCharType="end"/>
            </w:r>
            <w:r w:rsidR="00FC5B9F" w:rsidRPr="00FC5B9F">
              <w:rPr>
                <w:rFonts w:ascii="宋体" w:eastAsia="宋体" w:hAnsi="宋体" w:cs="宋体" w:hint="eastAsia"/>
                <w:b/>
                <w:bCs/>
                <w:color w:val="4B4B4B"/>
                <w:kern w:val="0"/>
                <w:szCs w:val="21"/>
              </w:rPr>
              <w:t>信息名称：</w:t>
            </w:r>
          </w:p>
        </w:tc>
        <w:tc>
          <w:tcPr>
            <w:tcW w:w="4368" w:type="pct"/>
            <w:gridSpan w:val="5"/>
            <w:hideMark/>
          </w:tcPr>
          <w:p w:rsidR="00FC5B9F" w:rsidRPr="00FC5B9F" w:rsidRDefault="00FC5B9F" w:rsidP="00FC5B9F">
            <w:pPr>
              <w:widowControl/>
              <w:spacing w:line="375" w:lineRule="atLeast"/>
              <w:jc w:val="left"/>
              <w:rPr>
                <w:rFonts w:ascii="宋体" w:eastAsia="宋体" w:hAnsi="宋体" w:cs="宋体"/>
                <w:b/>
                <w:bCs/>
                <w:color w:val="CC3300"/>
                <w:kern w:val="0"/>
                <w:szCs w:val="21"/>
              </w:rPr>
            </w:pPr>
            <w:r w:rsidRPr="00FC5B9F">
              <w:rPr>
                <w:rFonts w:ascii="宋体" w:eastAsia="宋体" w:hAnsi="宋体" w:cs="宋体" w:hint="eastAsia"/>
                <w:b/>
                <w:bCs/>
                <w:color w:val="CC3300"/>
                <w:kern w:val="0"/>
                <w:szCs w:val="21"/>
              </w:rPr>
              <w:t>教育部关于做好2018年普通高校招生工作的通知</w:t>
            </w:r>
          </w:p>
        </w:tc>
      </w:tr>
      <w:tr w:rsidR="00D30F1E" w:rsidRPr="00FC5B9F" w:rsidTr="00D30F1E">
        <w:trPr>
          <w:tblCellSpacing w:w="0" w:type="dxa"/>
        </w:trPr>
        <w:tc>
          <w:tcPr>
            <w:tcW w:w="632" w:type="pct"/>
            <w:vAlign w:val="center"/>
            <w:hideMark/>
          </w:tcPr>
          <w:p w:rsidR="00FC5B9F" w:rsidRPr="00FC5B9F" w:rsidRDefault="00FC5B9F" w:rsidP="00D30F1E">
            <w:pPr>
              <w:widowControl/>
              <w:spacing w:line="375" w:lineRule="atLeast"/>
              <w:rPr>
                <w:rFonts w:ascii="宋体" w:eastAsia="宋体" w:hAnsi="宋体" w:cs="宋体"/>
                <w:b/>
                <w:bCs/>
                <w:color w:val="4B4B4B"/>
                <w:kern w:val="0"/>
                <w:szCs w:val="21"/>
              </w:rPr>
            </w:pPr>
            <w:r w:rsidRPr="00FC5B9F">
              <w:rPr>
                <w:rFonts w:ascii="宋体" w:eastAsia="宋体" w:hAnsi="宋体" w:cs="宋体" w:hint="eastAsia"/>
                <w:b/>
                <w:bCs/>
                <w:color w:val="4B4B4B"/>
                <w:kern w:val="0"/>
                <w:szCs w:val="21"/>
              </w:rPr>
              <w:t>信息索引：</w:t>
            </w:r>
          </w:p>
        </w:tc>
        <w:tc>
          <w:tcPr>
            <w:tcW w:w="1421" w:type="pct"/>
            <w:vAlign w:val="center"/>
            <w:hideMark/>
          </w:tcPr>
          <w:p w:rsidR="00FC5B9F" w:rsidRPr="00FC5B9F" w:rsidRDefault="00FC5B9F" w:rsidP="00D30F1E">
            <w:pPr>
              <w:widowControl/>
              <w:spacing w:line="375" w:lineRule="atLeast"/>
              <w:rPr>
                <w:rFonts w:ascii="宋体" w:eastAsia="宋体" w:hAnsi="宋体" w:cs="宋体"/>
                <w:color w:val="4B4B4B"/>
                <w:kern w:val="0"/>
                <w:szCs w:val="21"/>
              </w:rPr>
            </w:pPr>
            <w:r w:rsidRPr="00FC5B9F">
              <w:rPr>
                <w:rFonts w:ascii="宋体" w:eastAsia="宋体" w:hAnsi="宋体" w:cs="宋体" w:hint="eastAsia"/>
                <w:color w:val="4B4B4B"/>
                <w:kern w:val="0"/>
                <w:szCs w:val="21"/>
              </w:rPr>
              <w:t>360A15-07-2018-0002-1</w:t>
            </w:r>
          </w:p>
        </w:tc>
        <w:tc>
          <w:tcPr>
            <w:tcW w:w="698" w:type="pct"/>
            <w:vAlign w:val="center"/>
            <w:hideMark/>
          </w:tcPr>
          <w:p w:rsidR="00FC5B9F" w:rsidRPr="00FC5B9F" w:rsidRDefault="00FC5B9F" w:rsidP="00D30F1E">
            <w:pPr>
              <w:widowControl/>
              <w:spacing w:line="375" w:lineRule="atLeast"/>
              <w:rPr>
                <w:rFonts w:ascii="宋体" w:eastAsia="宋体" w:hAnsi="宋体" w:cs="宋体"/>
                <w:b/>
                <w:bCs/>
                <w:color w:val="4B4B4B"/>
                <w:kern w:val="0"/>
                <w:szCs w:val="21"/>
              </w:rPr>
            </w:pPr>
            <w:r w:rsidRPr="00FC5B9F">
              <w:rPr>
                <w:rFonts w:ascii="宋体" w:eastAsia="宋体" w:hAnsi="宋体" w:cs="宋体" w:hint="eastAsia"/>
                <w:b/>
                <w:bCs/>
                <w:color w:val="4B4B4B"/>
                <w:kern w:val="0"/>
                <w:szCs w:val="21"/>
              </w:rPr>
              <w:t>生成日期：</w:t>
            </w:r>
          </w:p>
        </w:tc>
        <w:tc>
          <w:tcPr>
            <w:tcW w:w="739" w:type="pct"/>
            <w:vAlign w:val="center"/>
            <w:hideMark/>
          </w:tcPr>
          <w:p w:rsidR="00FC5B9F" w:rsidRPr="00FC5B9F" w:rsidRDefault="00FC5B9F" w:rsidP="00D30F1E">
            <w:pPr>
              <w:widowControl/>
              <w:spacing w:line="375" w:lineRule="atLeast"/>
              <w:rPr>
                <w:rFonts w:ascii="宋体" w:eastAsia="宋体" w:hAnsi="宋体" w:cs="宋体"/>
                <w:color w:val="4B4B4B"/>
                <w:kern w:val="0"/>
                <w:szCs w:val="21"/>
              </w:rPr>
            </w:pPr>
            <w:r w:rsidRPr="00FC5B9F">
              <w:rPr>
                <w:rFonts w:ascii="宋体" w:eastAsia="宋体" w:hAnsi="宋体" w:cs="宋体" w:hint="eastAsia"/>
                <w:color w:val="4B4B4B"/>
                <w:kern w:val="0"/>
                <w:szCs w:val="21"/>
              </w:rPr>
              <w:t>2018-03-05</w:t>
            </w:r>
          </w:p>
        </w:tc>
        <w:tc>
          <w:tcPr>
            <w:tcW w:w="608" w:type="pct"/>
            <w:vAlign w:val="center"/>
            <w:hideMark/>
          </w:tcPr>
          <w:p w:rsidR="00FC5B9F" w:rsidRPr="00FC5B9F" w:rsidRDefault="00FC5B9F" w:rsidP="00D30F1E">
            <w:pPr>
              <w:widowControl/>
              <w:spacing w:line="375" w:lineRule="atLeast"/>
              <w:rPr>
                <w:rFonts w:ascii="宋体" w:eastAsia="宋体" w:hAnsi="宋体" w:cs="宋体"/>
                <w:b/>
                <w:bCs/>
                <w:color w:val="4B4B4B"/>
                <w:kern w:val="0"/>
                <w:szCs w:val="21"/>
              </w:rPr>
            </w:pPr>
            <w:r w:rsidRPr="00FC5B9F">
              <w:rPr>
                <w:rFonts w:ascii="宋体" w:eastAsia="宋体" w:hAnsi="宋体" w:cs="宋体" w:hint="eastAsia"/>
                <w:b/>
                <w:bCs/>
                <w:color w:val="4B4B4B"/>
                <w:kern w:val="0"/>
                <w:szCs w:val="21"/>
              </w:rPr>
              <w:t>发文机构：</w:t>
            </w:r>
          </w:p>
        </w:tc>
        <w:tc>
          <w:tcPr>
            <w:tcW w:w="902" w:type="pct"/>
            <w:vAlign w:val="center"/>
            <w:hideMark/>
          </w:tcPr>
          <w:p w:rsidR="00FC5B9F" w:rsidRPr="00FC5B9F" w:rsidRDefault="00FC5B9F" w:rsidP="00D30F1E">
            <w:pPr>
              <w:widowControl/>
              <w:spacing w:line="375" w:lineRule="atLeast"/>
              <w:rPr>
                <w:rFonts w:ascii="宋体" w:eastAsia="宋体" w:hAnsi="宋体" w:cs="宋体"/>
                <w:color w:val="4B4B4B"/>
                <w:kern w:val="0"/>
                <w:szCs w:val="21"/>
              </w:rPr>
            </w:pPr>
            <w:r w:rsidRPr="00FC5B9F">
              <w:rPr>
                <w:rFonts w:ascii="宋体" w:eastAsia="宋体" w:hAnsi="宋体" w:cs="宋体" w:hint="eastAsia"/>
                <w:color w:val="4B4B4B"/>
                <w:kern w:val="0"/>
                <w:szCs w:val="21"/>
              </w:rPr>
              <w:t>中华人民共和国教育部</w:t>
            </w:r>
          </w:p>
        </w:tc>
      </w:tr>
      <w:tr w:rsidR="00D30F1E" w:rsidRPr="00FC5B9F" w:rsidTr="00D30F1E">
        <w:trPr>
          <w:tblCellSpacing w:w="0" w:type="dxa"/>
        </w:trPr>
        <w:tc>
          <w:tcPr>
            <w:tcW w:w="632" w:type="pct"/>
            <w:hideMark/>
          </w:tcPr>
          <w:p w:rsidR="00FC5B9F" w:rsidRPr="00FC5B9F" w:rsidRDefault="00FC5B9F" w:rsidP="00FC5B9F">
            <w:pPr>
              <w:widowControl/>
              <w:spacing w:line="375" w:lineRule="atLeast"/>
              <w:jc w:val="left"/>
              <w:rPr>
                <w:rFonts w:ascii="宋体" w:eastAsia="宋体" w:hAnsi="宋体" w:cs="宋体"/>
                <w:b/>
                <w:bCs/>
                <w:color w:val="4B4B4B"/>
                <w:kern w:val="0"/>
                <w:szCs w:val="21"/>
              </w:rPr>
            </w:pPr>
            <w:r w:rsidRPr="00FC5B9F">
              <w:rPr>
                <w:rFonts w:ascii="宋体" w:eastAsia="宋体" w:hAnsi="宋体" w:cs="宋体" w:hint="eastAsia"/>
                <w:b/>
                <w:bCs/>
                <w:color w:val="4B4B4B"/>
                <w:kern w:val="0"/>
                <w:szCs w:val="21"/>
              </w:rPr>
              <w:t>发文字号：</w:t>
            </w:r>
          </w:p>
        </w:tc>
        <w:tc>
          <w:tcPr>
            <w:tcW w:w="1421" w:type="pct"/>
            <w:hideMark/>
          </w:tcPr>
          <w:p w:rsidR="00FC5B9F" w:rsidRPr="00FC5B9F" w:rsidRDefault="00FC5B9F" w:rsidP="00FC5B9F">
            <w:pPr>
              <w:widowControl/>
              <w:spacing w:line="375" w:lineRule="atLeast"/>
              <w:jc w:val="left"/>
              <w:rPr>
                <w:rFonts w:ascii="宋体" w:eastAsia="宋体" w:hAnsi="宋体" w:cs="宋体"/>
                <w:color w:val="4B4B4B"/>
                <w:kern w:val="0"/>
                <w:szCs w:val="21"/>
              </w:rPr>
            </w:pPr>
            <w:r w:rsidRPr="00FC5B9F">
              <w:rPr>
                <w:rFonts w:ascii="宋体" w:eastAsia="宋体" w:hAnsi="宋体" w:cs="宋体" w:hint="eastAsia"/>
                <w:color w:val="4B4B4B"/>
                <w:kern w:val="0"/>
                <w:szCs w:val="21"/>
              </w:rPr>
              <w:t>教学〔2018〕2号</w:t>
            </w:r>
          </w:p>
        </w:tc>
        <w:tc>
          <w:tcPr>
            <w:tcW w:w="698" w:type="pct"/>
            <w:hideMark/>
          </w:tcPr>
          <w:p w:rsidR="00FC5B9F" w:rsidRPr="00FC5B9F" w:rsidRDefault="00FC5B9F" w:rsidP="00FC5B9F">
            <w:pPr>
              <w:widowControl/>
              <w:spacing w:line="375" w:lineRule="atLeast"/>
              <w:jc w:val="left"/>
              <w:rPr>
                <w:rFonts w:ascii="宋体" w:eastAsia="宋体" w:hAnsi="宋体" w:cs="宋体"/>
                <w:b/>
                <w:bCs/>
                <w:color w:val="4B4B4B"/>
                <w:kern w:val="0"/>
                <w:szCs w:val="21"/>
              </w:rPr>
            </w:pPr>
            <w:r w:rsidRPr="00FC5B9F">
              <w:rPr>
                <w:rFonts w:ascii="宋体" w:eastAsia="宋体" w:hAnsi="宋体" w:cs="宋体" w:hint="eastAsia"/>
                <w:b/>
                <w:bCs/>
                <w:color w:val="4B4B4B"/>
                <w:kern w:val="0"/>
                <w:szCs w:val="21"/>
              </w:rPr>
              <w:t>信息类别：</w:t>
            </w:r>
          </w:p>
        </w:tc>
        <w:tc>
          <w:tcPr>
            <w:tcW w:w="2249" w:type="pct"/>
            <w:gridSpan w:val="3"/>
            <w:hideMark/>
          </w:tcPr>
          <w:p w:rsidR="00FC5B9F" w:rsidRPr="00FC5B9F" w:rsidRDefault="00FC5B9F" w:rsidP="00FC5B9F">
            <w:pPr>
              <w:widowControl/>
              <w:spacing w:line="375" w:lineRule="atLeast"/>
              <w:jc w:val="left"/>
              <w:rPr>
                <w:rFonts w:ascii="宋体" w:eastAsia="宋体" w:hAnsi="宋体" w:cs="宋体"/>
                <w:color w:val="4B4B4B"/>
                <w:kern w:val="0"/>
                <w:szCs w:val="21"/>
              </w:rPr>
            </w:pPr>
            <w:r w:rsidRPr="00FC5B9F">
              <w:rPr>
                <w:rFonts w:ascii="宋体" w:eastAsia="宋体" w:hAnsi="宋体" w:cs="宋体" w:hint="eastAsia"/>
                <w:color w:val="4B4B4B"/>
                <w:kern w:val="0"/>
                <w:szCs w:val="21"/>
              </w:rPr>
              <w:t>高等教育</w:t>
            </w:r>
          </w:p>
        </w:tc>
      </w:tr>
      <w:tr w:rsidR="00FC5B9F" w:rsidRPr="00FC5B9F" w:rsidTr="00D30F1E">
        <w:trPr>
          <w:tblCellSpacing w:w="0" w:type="dxa"/>
        </w:trPr>
        <w:tc>
          <w:tcPr>
            <w:tcW w:w="632" w:type="pct"/>
            <w:hideMark/>
          </w:tcPr>
          <w:p w:rsidR="00FC5B9F" w:rsidRPr="00FC5B9F" w:rsidRDefault="00FC5B9F" w:rsidP="00FC5B9F">
            <w:pPr>
              <w:widowControl/>
              <w:spacing w:line="375" w:lineRule="atLeast"/>
              <w:jc w:val="left"/>
              <w:rPr>
                <w:rFonts w:ascii="宋体" w:eastAsia="宋体" w:hAnsi="宋体" w:cs="宋体"/>
                <w:b/>
                <w:bCs/>
                <w:color w:val="4B4B4B"/>
                <w:kern w:val="0"/>
                <w:szCs w:val="21"/>
              </w:rPr>
            </w:pPr>
            <w:r w:rsidRPr="00FC5B9F">
              <w:rPr>
                <w:rFonts w:ascii="宋体" w:eastAsia="宋体" w:hAnsi="宋体" w:cs="宋体" w:hint="eastAsia"/>
                <w:b/>
                <w:bCs/>
                <w:color w:val="4B4B4B"/>
                <w:kern w:val="0"/>
                <w:szCs w:val="21"/>
              </w:rPr>
              <w:t>内容概述：</w:t>
            </w:r>
          </w:p>
        </w:tc>
        <w:tc>
          <w:tcPr>
            <w:tcW w:w="4368" w:type="pct"/>
            <w:gridSpan w:val="5"/>
            <w:hideMark/>
          </w:tcPr>
          <w:p w:rsidR="00FC5B9F" w:rsidRPr="00FC5B9F" w:rsidRDefault="00FC5B9F" w:rsidP="00FC5B9F">
            <w:pPr>
              <w:widowControl/>
              <w:spacing w:line="375" w:lineRule="atLeast"/>
              <w:jc w:val="left"/>
              <w:rPr>
                <w:rFonts w:ascii="宋体" w:eastAsia="宋体" w:hAnsi="宋体" w:cs="宋体"/>
                <w:color w:val="4B4B4B"/>
                <w:kern w:val="0"/>
                <w:szCs w:val="21"/>
              </w:rPr>
            </w:pPr>
            <w:r w:rsidRPr="00FC5B9F">
              <w:rPr>
                <w:rFonts w:ascii="宋体" w:eastAsia="宋体" w:hAnsi="宋体" w:cs="宋体" w:hint="eastAsia"/>
                <w:color w:val="4B4B4B"/>
                <w:kern w:val="0"/>
                <w:szCs w:val="21"/>
              </w:rPr>
              <w:t>2018年普通高校招生工作要深入贯彻落实党的十九大精神，以习近平新时代中国特色社会主义思想为指导，紧紧围绕统筹推进“五位一体”总体布局和协调推进“四个全面”战略布局，坚持和加强党的领导，全面贯彻党的教育方针，落实立德树人根本任务，选拔和培养德智体美全面发展的社会主义建设者和接班人。</w:t>
            </w:r>
          </w:p>
        </w:tc>
      </w:tr>
    </w:tbl>
    <w:p w:rsidR="00FC5B9F" w:rsidRPr="00FC5B9F" w:rsidRDefault="00FC5B9F" w:rsidP="00FC5B9F">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FC5B9F">
        <w:rPr>
          <w:rFonts w:ascii="微软雅黑" w:eastAsia="微软雅黑" w:hAnsi="微软雅黑" w:cs="宋体" w:hint="eastAsia"/>
          <w:b/>
          <w:bCs/>
          <w:color w:val="4B4B4B"/>
          <w:kern w:val="0"/>
          <w:sz w:val="24"/>
          <w:szCs w:val="24"/>
        </w:rPr>
        <w:t>教学〔2018〕2号</w:t>
      </w:r>
    </w:p>
    <w:p w:rsidR="00FC5B9F" w:rsidRPr="00FC5B9F" w:rsidRDefault="00FC5B9F" w:rsidP="00FC5B9F">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FC5B9F">
        <w:rPr>
          <w:rFonts w:ascii="微软雅黑" w:eastAsia="微软雅黑" w:hAnsi="微软雅黑" w:cs="宋体" w:hint="eastAsia"/>
          <w:b/>
          <w:bCs/>
          <w:color w:val="4B4B4B"/>
          <w:kern w:val="36"/>
          <w:sz w:val="30"/>
          <w:szCs w:val="30"/>
        </w:rPr>
        <w:t>教育部关于做好2018年普通高校</w:t>
      </w:r>
      <w:r w:rsidRPr="00FC5B9F">
        <w:rPr>
          <w:rFonts w:ascii="微软雅黑" w:eastAsia="微软雅黑" w:hAnsi="微软雅黑" w:cs="宋体" w:hint="eastAsia"/>
          <w:b/>
          <w:bCs/>
          <w:color w:val="4B4B4B"/>
          <w:kern w:val="36"/>
          <w:sz w:val="30"/>
          <w:szCs w:val="30"/>
        </w:rPr>
        <w:br/>
        <w:t>招生工作的通知</w:t>
      </w:r>
    </w:p>
    <w:p w:rsidR="00FC5B9F" w:rsidRPr="00FC5B9F" w:rsidRDefault="00FC5B9F" w:rsidP="00FC5B9F">
      <w:pPr>
        <w:widowControl/>
        <w:shd w:val="clear" w:color="auto" w:fill="FFFFFF"/>
        <w:spacing w:before="100" w:beforeAutospacing="1" w:after="100" w:afterAutospacing="1" w:line="480" w:lineRule="atLeast"/>
        <w:jc w:val="right"/>
        <w:rPr>
          <w:rFonts w:ascii="微软雅黑" w:eastAsia="微软雅黑" w:hAnsi="微软雅黑" w:cs="宋体"/>
          <w:b/>
          <w:bCs/>
          <w:vanish/>
          <w:color w:val="4B4B4B"/>
          <w:kern w:val="0"/>
          <w:sz w:val="24"/>
          <w:szCs w:val="24"/>
        </w:rPr>
      </w:pPr>
      <w:r w:rsidRPr="00FC5B9F">
        <w:rPr>
          <w:rFonts w:ascii="微软雅黑" w:eastAsia="微软雅黑" w:hAnsi="微软雅黑" w:cs="宋体" w:hint="eastAsia"/>
          <w:b/>
          <w:bCs/>
          <w:vanish/>
          <w:color w:val="4B4B4B"/>
          <w:kern w:val="0"/>
          <w:sz w:val="24"/>
          <w:szCs w:val="24"/>
        </w:rPr>
        <w:t>教学〔2018〕2号</w:t>
      </w:r>
    </w:p>
    <w:p w:rsidR="00FC5B9F" w:rsidRPr="00FC5B9F" w:rsidRDefault="00FC5B9F" w:rsidP="00FC5B9F">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C5B9F">
        <w:rPr>
          <w:rFonts w:ascii="微软雅黑" w:eastAsia="微软雅黑" w:hAnsi="微软雅黑" w:cs="宋体" w:hint="eastAsia"/>
          <w:color w:val="4B4B4B"/>
          <w:kern w:val="0"/>
          <w:sz w:val="24"/>
          <w:szCs w:val="24"/>
        </w:rPr>
        <w:t>各省、自治区、直辖市高等学校招生委员会、教育厅（教委），新疆生产建设兵团教育局，有关部门（单位）教育司（局），部属各高等学校：</w:t>
      </w:r>
    </w:p>
    <w:p w:rsidR="00FC5B9F" w:rsidRPr="00FC5B9F" w:rsidRDefault="00FC5B9F" w:rsidP="00FC5B9F">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C5B9F">
        <w:rPr>
          <w:rFonts w:ascii="微软雅黑" w:eastAsia="微软雅黑" w:hAnsi="微软雅黑" w:cs="宋体" w:hint="eastAsia"/>
          <w:color w:val="4B4B4B"/>
          <w:kern w:val="0"/>
          <w:sz w:val="24"/>
          <w:szCs w:val="24"/>
        </w:rPr>
        <w:t xml:space="preserve">　　2018年普通高校招生工作要深入贯彻落实党的十九大精神，以习近平新时代中国特色社会主义思想为指导，紧紧围绕统筹推进“五位一体”总体布局和协调推进“四个全面”战略布局，坚持和加强党的领导，全面贯彻党的教育方针，落实立德树人根本任务，选拔和培养德智体美全面发展的社会主义建设者和接班人。坚持稳中求进工作总基调，全面落实《国务院关于深化考试招生制度改革的实施意见》（国发〔2014〕35号），发展素质教育，促进教育公平，科学选拔人才，确保高校考试招生公平公正和规范有序。现就有关工作通知如下：</w:t>
      </w:r>
    </w:p>
    <w:p w:rsidR="00FC5B9F" w:rsidRPr="00FC5B9F" w:rsidRDefault="00FC5B9F" w:rsidP="00FC5B9F">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C5B9F">
        <w:rPr>
          <w:rFonts w:ascii="微软雅黑" w:eastAsia="微软雅黑" w:hAnsi="微软雅黑" w:cs="宋体" w:hint="eastAsia"/>
          <w:color w:val="4B4B4B"/>
          <w:kern w:val="0"/>
          <w:sz w:val="24"/>
          <w:szCs w:val="24"/>
        </w:rPr>
        <w:t xml:space="preserve">　　</w:t>
      </w:r>
      <w:r w:rsidRPr="00FC5B9F">
        <w:rPr>
          <w:rFonts w:ascii="微软雅黑" w:eastAsia="微软雅黑" w:hAnsi="微软雅黑" w:cs="宋体" w:hint="eastAsia"/>
          <w:b/>
          <w:bCs/>
          <w:color w:val="4B4B4B"/>
          <w:kern w:val="0"/>
          <w:sz w:val="24"/>
          <w:szCs w:val="24"/>
        </w:rPr>
        <w:t xml:space="preserve">一、全力保障高考工作安全平稳 </w:t>
      </w:r>
    </w:p>
    <w:p w:rsidR="00FC5B9F" w:rsidRPr="00FC5B9F" w:rsidRDefault="00FC5B9F" w:rsidP="00FC5B9F">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C5B9F">
        <w:rPr>
          <w:rFonts w:ascii="微软雅黑" w:eastAsia="微软雅黑" w:hAnsi="微软雅黑" w:cs="宋体" w:hint="eastAsia"/>
          <w:color w:val="4B4B4B"/>
          <w:kern w:val="0"/>
          <w:sz w:val="24"/>
          <w:szCs w:val="24"/>
        </w:rPr>
        <w:t xml:space="preserve">　　各省级高校招生委员会要在当地党委、政府领导下，按照全面从严治党要求，切实加强对高考工作的组织领导，层层落实考试安全主体责任，逐级签订考试安</w:t>
      </w:r>
      <w:r w:rsidRPr="00FC5B9F">
        <w:rPr>
          <w:rFonts w:ascii="微软雅黑" w:eastAsia="微软雅黑" w:hAnsi="微软雅黑" w:cs="宋体" w:hint="eastAsia"/>
          <w:color w:val="4B4B4B"/>
          <w:kern w:val="0"/>
          <w:sz w:val="24"/>
          <w:szCs w:val="24"/>
        </w:rPr>
        <w:lastRenderedPageBreak/>
        <w:t>全责任书。省级高校招生委员会是本行政区域内组织高考、治理考试环境、维护考试招生安全稳定、整肃考风考纪的责任主体，主要负责同志是第一责任人；省级教育行政部门分管负责同志和省级招生考试机构主要负责同志是直接责任人。要充分发挥国家教育统一考试部门联席会议制度作用，完善联防联控、齐抓共管的工作机制，集中开展净化涉考网络环境、打击销售作弊器材、净化考点周边环境、打击替考作弊等专项行动。省级教育行政部门、招生考试机构要把安全保密工作摆在突出重要位置，加强对试卷流转环节全过程、全链条监管，确保试题试卷绝对安全。加强标准化考点管理，把好考场入口关，着力抓好考务实施和考场管理，确保考风考纪严明有序。各地要成立相关部门组成的高考安全稳定领导小组，加强对舆情和应急事件的监测、研判，进一步完善应急预案并落实应急保障，快速、妥善处置突发事件。</w:t>
      </w:r>
    </w:p>
    <w:p w:rsidR="00FC5B9F" w:rsidRPr="00FC5B9F" w:rsidRDefault="00FC5B9F" w:rsidP="00FC5B9F">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C5B9F">
        <w:rPr>
          <w:rFonts w:ascii="微软雅黑" w:eastAsia="微软雅黑" w:hAnsi="微软雅黑" w:cs="宋体" w:hint="eastAsia"/>
          <w:color w:val="4B4B4B"/>
          <w:kern w:val="0"/>
          <w:sz w:val="24"/>
          <w:szCs w:val="24"/>
        </w:rPr>
        <w:t xml:space="preserve">　　</w:t>
      </w:r>
      <w:r w:rsidRPr="00FC5B9F">
        <w:rPr>
          <w:rFonts w:ascii="微软雅黑" w:eastAsia="微软雅黑" w:hAnsi="微软雅黑" w:cs="宋体" w:hint="eastAsia"/>
          <w:b/>
          <w:bCs/>
          <w:color w:val="4B4B4B"/>
          <w:kern w:val="0"/>
          <w:sz w:val="24"/>
          <w:szCs w:val="24"/>
        </w:rPr>
        <w:t xml:space="preserve">二、积极稳妥推进高校考试招生改革 </w:t>
      </w:r>
    </w:p>
    <w:p w:rsidR="00FC5B9F" w:rsidRPr="00FC5B9F" w:rsidRDefault="00FC5B9F" w:rsidP="00FC5B9F">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C5B9F">
        <w:rPr>
          <w:rFonts w:ascii="微软雅黑" w:eastAsia="微软雅黑" w:hAnsi="微软雅黑" w:cs="宋体" w:hint="eastAsia"/>
          <w:color w:val="4B4B4B"/>
          <w:kern w:val="0"/>
          <w:sz w:val="24"/>
          <w:szCs w:val="24"/>
        </w:rPr>
        <w:t xml:space="preserve">　　上海市、浙江省要深入总结完善高考综合改革试点经验，不断研究解决改革过程中遇到的新情况、新问题。北京市、天津市、山东省、海南省要积极借鉴试点经验，坚持从本地实际出发，精心组织、平稳实施好改革试点。积极推进实施高中学业水平考试和综合素质评价等专项改革，为实施高考综合改革打下扎实基础。加强政策宣传解读，覆盖所有在本地招生高校、各级教育部门、中学校长和高中年级教师。有关高校要按照有关要求，积极配合高考综合改革试点省份，认真研究提出高中学业水平考试科目报考要求，促进招生和人才培养更加贯通衔接。强化对高中学生综合素质档案的使用，在保送生、自主招生、综合评价试点、高水平艺术团、高水平运动队、艺术体育类专业、运动训练和民族传统体育、高职</w:t>
      </w:r>
      <w:r w:rsidRPr="00FC5B9F">
        <w:rPr>
          <w:rFonts w:ascii="微软雅黑" w:eastAsia="微软雅黑" w:hAnsi="微软雅黑" w:cs="宋体" w:hint="eastAsia"/>
          <w:color w:val="4B4B4B"/>
          <w:kern w:val="0"/>
          <w:sz w:val="24"/>
          <w:szCs w:val="24"/>
        </w:rPr>
        <w:lastRenderedPageBreak/>
        <w:t>分类招考等类型（以下简称特殊类型）招生中，将学生综合素质评价结果作为招生录取的重要参考。进一步推进减少高校招生录取批次改革，实施高考综合改革及合并本科批次的省份，要合理划定特殊类型招生最低录取文化课分数线，不得低于合并批次前的相应要求。各地要进一步推进高职分类招考，完善“文化素质+职业技能”评价方式，形成符合高等职业教育培养规律和特点的人才评价选拔模式。严格规范中等职业教育与本科教育贯通招生，严格控制招生学校、专业和规模,以少数省属应用型本科高校技术技能含量高、培养周期长的专业为主。</w:t>
      </w:r>
    </w:p>
    <w:p w:rsidR="00FC5B9F" w:rsidRPr="00FC5B9F" w:rsidRDefault="00FC5B9F" w:rsidP="00FC5B9F">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C5B9F">
        <w:rPr>
          <w:rFonts w:ascii="微软雅黑" w:eastAsia="微软雅黑" w:hAnsi="微软雅黑" w:cs="宋体" w:hint="eastAsia"/>
          <w:color w:val="4B4B4B"/>
          <w:kern w:val="0"/>
          <w:sz w:val="24"/>
          <w:szCs w:val="24"/>
        </w:rPr>
        <w:t xml:space="preserve">　　</w:t>
      </w:r>
      <w:r w:rsidRPr="00FC5B9F">
        <w:rPr>
          <w:rFonts w:ascii="微软雅黑" w:eastAsia="微软雅黑" w:hAnsi="微软雅黑" w:cs="宋体" w:hint="eastAsia"/>
          <w:b/>
          <w:bCs/>
          <w:color w:val="4B4B4B"/>
          <w:kern w:val="0"/>
          <w:sz w:val="24"/>
          <w:szCs w:val="24"/>
        </w:rPr>
        <w:t xml:space="preserve">三、进一步促进城乡区域入学机会公平 </w:t>
      </w:r>
    </w:p>
    <w:p w:rsidR="00FC5B9F" w:rsidRPr="00FC5B9F" w:rsidRDefault="00FC5B9F" w:rsidP="00FC5B9F">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C5B9F">
        <w:rPr>
          <w:rFonts w:ascii="微软雅黑" w:eastAsia="微软雅黑" w:hAnsi="微软雅黑" w:cs="宋体" w:hint="eastAsia"/>
          <w:color w:val="4B4B4B"/>
          <w:kern w:val="0"/>
          <w:sz w:val="24"/>
          <w:szCs w:val="24"/>
        </w:rPr>
        <w:t xml:space="preserve">　　各地各校要认真贯彻落实中央关于促进教育公平的决策部署，完善招生计划管理，合理编制分省招生计划。继续实施“国家支援中西部地区招生协作计划”，进一步提高中西部地区及人口大省高考录取率。中央部门所属高校要积极履行促进入学机会公平的社会职责，加强对各地人才需求的分析预测，严格控制属地招生计划比例，合理确定分省招生计划，向重点高校录取比例相对较低的省份倾斜。各地和有关高校要完善重点高校招收农村和贫困地区学生长效机制，继续实施国家、地方和高校三个专项计划，严格实施区域、报考条件和资格审查，细化招生办法，优化报考服务。进一步落实和完善进城务工人员及其他非户籍就业人员随迁子女在流入地参加高考政策，确保符合条件的随迁子女都能在流入地参加高考。对于不符合流入地报考条件的考生，流入地省级高校招生委员会要主动协调流出地予以解决，原则上回流出地高考。加强对“高考移民”的综合治理，依法依规防范和打击违法违规跨省（区、市）获取高考报名资格的行为。</w:t>
      </w:r>
    </w:p>
    <w:p w:rsidR="00FC5B9F" w:rsidRPr="00FC5B9F" w:rsidRDefault="00FC5B9F" w:rsidP="00FC5B9F">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C5B9F">
        <w:rPr>
          <w:rFonts w:ascii="微软雅黑" w:eastAsia="微软雅黑" w:hAnsi="微软雅黑" w:cs="宋体" w:hint="eastAsia"/>
          <w:color w:val="4B4B4B"/>
          <w:kern w:val="0"/>
          <w:sz w:val="24"/>
          <w:szCs w:val="24"/>
        </w:rPr>
        <w:t xml:space="preserve">　　</w:t>
      </w:r>
      <w:r w:rsidRPr="00FC5B9F">
        <w:rPr>
          <w:rFonts w:ascii="微软雅黑" w:eastAsia="微软雅黑" w:hAnsi="微软雅黑" w:cs="宋体" w:hint="eastAsia"/>
          <w:b/>
          <w:bCs/>
          <w:color w:val="4B4B4B"/>
          <w:kern w:val="0"/>
          <w:sz w:val="24"/>
          <w:szCs w:val="24"/>
        </w:rPr>
        <w:t xml:space="preserve">四、进一步严格规范招生工作管理 </w:t>
      </w:r>
    </w:p>
    <w:p w:rsidR="00FC5B9F" w:rsidRPr="00FC5B9F" w:rsidRDefault="00FC5B9F" w:rsidP="00FC5B9F">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C5B9F">
        <w:rPr>
          <w:rFonts w:ascii="微软雅黑" w:eastAsia="微软雅黑" w:hAnsi="微软雅黑" w:cs="宋体" w:hint="eastAsia"/>
          <w:color w:val="4B4B4B"/>
          <w:kern w:val="0"/>
          <w:sz w:val="24"/>
          <w:szCs w:val="24"/>
        </w:rPr>
        <w:lastRenderedPageBreak/>
        <w:t xml:space="preserve">　　各地各校要严格执行国家招生政策规定，严格遵守“30个不得”招生工作禁令，维护高校招生公平公正。严格执行国家、省级、高校、中学四级信息公开制度，认真落实招生信息十公开要求，及时公开有关信息，接受考生、学校和社会的监督。各省级高校招生委员会、教育行政部门要认真落实监管责任，会同有关部门加强对报名、审核、公示各个环节事前事中事后监管，配合高校及时对特殊类型招生中违规违纪的考生、中学和责任人进行调查处理。要按照“谁主管、谁审核、谁负责”原则，加强报名资格、加分资格、农村和贫困地区专项计划报考资格等审核。高校要认真执行有关特殊类型招生工作要求，切实履行工作职责，严格报名条件、材料审查、学校考核、监督制约和造假惩处，严厉打击证书、发明、专利、论文买卖和造假行为。不得将社会机构和公司提供的测评结果与招生工作挂钩，不得以“生源基地”等形式圈定中学范围，确保考试招生公平公正。</w:t>
      </w:r>
    </w:p>
    <w:p w:rsidR="00FC5B9F" w:rsidRPr="00FC5B9F" w:rsidRDefault="00FC5B9F" w:rsidP="00FC5B9F">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C5B9F">
        <w:rPr>
          <w:rFonts w:ascii="微软雅黑" w:eastAsia="微软雅黑" w:hAnsi="微软雅黑" w:cs="宋体" w:hint="eastAsia"/>
          <w:color w:val="4B4B4B"/>
          <w:kern w:val="0"/>
          <w:sz w:val="24"/>
          <w:szCs w:val="24"/>
        </w:rPr>
        <w:t xml:space="preserve">　　各地各校要加大招生违规处理力度。对报名、考试、录取等招生各环节出现违法违规行为的，严格按照《中华人民共和国刑法修正案(九)》《中华人民共和国教育法》《国家教育考试违规处理办法》《普通高等学校招生违规行为处理暂行办法》确定的程序和规定严肃处理，依法依规追究当事人及相关人员责任。对在特殊类型招生中违规的考生、高校、中学及有关工作人员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3年内暂停参加各类国家教育考试的处理。对公职人员违规违纪的，依据《中国共产党纪律处分条例》《行政机关公务员处分条例》和《事业单位工作人员处分暂行规定》等相关规定严肃处理。对因教育行政部门、招生考试机构、高校疏于管理，造成</w:t>
      </w:r>
      <w:r w:rsidRPr="00FC5B9F">
        <w:rPr>
          <w:rFonts w:ascii="微软雅黑" w:eastAsia="微软雅黑" w:hAnsi="微软雅黑" w:cs="宋体" w:hint="eastAsia"/>
          <w:color w:val="4B4B4B"/>
          <w:kern w:val="0"/>
          <w:sz w:val="24"/>
          <w:szCs w:val="24"/>
        </w:rPr>
        <w:lastRenderedPageBreak/>
        <w:t>考场秩序混乱、作弊情况严重、招生违规严重的党员，依照《中国共产党问责条例》等对直接责任人和负有领导责任的人员，依纪依规进行严肃追责问责；涉嫌犯罪的，移送司法机关追究法律责任。</w:t>
      </w:r>
    </w:p>
    <w:p w:rsidR="00FC5B9F" w:rsidRPr="00FC5B9F" w:rsidRDefault="00FC5B9F" w:rsidP="00FC5B9F">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C5B9F">
        <w:rPr>
          <w:rFonts w:ascii="微软雅黑" w:eastAsia="微软雅黑" w:hAnsi="微软雅黑" w:cs="宋体" w:hint="eastAsia"/>
          <w:color w:val="4B4B4B"/>
          <w:kern w:val="0"/>
          <w:sz w:val="24"/>
          <w:szCs w:val="24"/>
        </w:rPr>
        <w:t xml:space="preserve">　　</w:t>
      </w:r>
      <w:r w:rsidRPr="00FC5B9F">
        <w:rPr>
          <w:rFonts w:ascii="微软雅黑" w:eastAsia="微软雅黑" w:hAnsi="微软雅黑" w:cs="宋体" w:hint="eastAsia"/>
          <w:b/>
          <w:bCs/>
          <w:color w:val="4B4B4B"/>
          <w:kern w:val="0"/>
          <w:sz w:val="24"/>
          <w:szCs w:val="24"/>
        </w:rPr>
        <w:t xml:space="preserve">五、进一步强化高校考试招生信息安全 </w:t>
      </w:r>
    </w:p>
    <w:p w:rsidR="00FC5B9F" w:rsidRPr="00FC5B9F" w:rsidRDefault="00FC5B9F" w:rsidP="00FC5B9F">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C5B9F">
        <w:rPr>
          <w:rFonts w:ascii="微软雅黑" w:eastAsia="微软雅黑" w:hAnsi="微软雅黑" w:cs="宋体" w:hint="eastAsia"/>
          <w:color w:val="4B4B4B"/>
          <w:kern w:val="0"/>
          <w:sz w:val="24"/>
          <w:szCs w:val="24"/>
        </w:rPr>
        <w:t xml:space="preserve">　　各地各校要切实增强高校考试招生信息安全意识，严格执行国家有关网络与信息安全管理规定，严格落实信息系统等级保护定级备案要求，健全人防、物防、技防的安全保障体系，确保重要设备、信息系统和考生信息安全。完善信息安全管理制度，压实信息安全责任，将信息安全任务和责任落实到岗到人。加大信息安全投入，切实提高防篡改、防窃取、防瘫痪、防病毒、防攻击能力。加强信息安全检查，聘请专业机构定期进行安全检测评估，及时堵塞管理和技术安全漏洞，消除安全隐患。在高考报名、评卷、志愿填报和录取工作期间，积极协调或联合当地网信、公安、工信或有关专业机构，对网络和信息系统进行实时监测，对出现的异常情况要及时研判，快速处置。完善应急处置工作预案，加强系统和数据备份管理，提高应对突发事件能力。严格考生信息管理，通过严格工作权限、定期校验等措施，严防信息泄露和篡改。除按规定应向社会公开公示的考生信息外，各地只能将考生的报名信息、高考成绩、名次以及录取信息提供给考生本人及有关投档高校，不得向考生所在中学及其他任何单位和个人提供。各级各类学校及其工作人员不得公布、提供考生成绩、名次等信息。加强考生志愿填报账号发放和志愿确认等环节管理，指导考生妥善保管个人信息，防止被他人盗用或非法操控。高中阶段教育学校和教师不得代替或干预考生填报高考志愿。</w:t>
      </w:r>
    </w:p>
    <w:p w:rsidR="00FC5B9F" w:rsidRPr="00FC5B9F" w:rsidRDefault="00FC5B9F" w:rsidP="00FC5B9F">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C5B9F">
        <w:rPr>
          <w:rFonts w:ascii="微软雅黑" w:eastAsia="微软雅黑" w:hAnsi="微软雅黑" w:cs="宋体" w:hint="eastAsia"/>
          <w:color w:val="4B4B4B"/>
          <w:kern w:val="0"/>
          <w:sz w:val="24"/>
          <w:szCs w:val="24"/>
        </w:rPr>
        <w:t xml:space="preserve">　　</w:t>
      </w:r>
      <w:r w:rsidRPr="00FC5B9F">
        <w:rPr>
          <w:rFonts w:ascii="微软雅黑" w:eastAsia="微软雅黑" w:hAnsi="微软雅黑" w:cs="宋体" w:hint="eastAsia"/>
          <w:b/>
          <w:bCs/>
          <w:color w:val="4B4B4B"/>
          <w:kern w:val="0"/>
          <w:sz w:val="24"/>
          <w:szCs w:val="24"/>
        </w:rPr>
        <w:t xml:space="preserve">六、深入开展招生宣传服务工作 </w:t>
      </w:r>
    </w:p>
    <w:p w:rsidR="00FC5B9F" w:rsidRPr="00FC5B9F" w:rsidRDefault="00FC5B9F" w:rsidP="00FC5B9F">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C5B9F">
        <w:rPr>
          <w:rFonts w:ascii="微软雅黑" w:eastAsia="微软雅黑" w:hAnsi="微软雅黑" w:cs="宋体" w:hint="eastAsia"/>
          <w:color w:val="4B4B4B"/>
          <w:kern w:val="0"/>
          <w:sz w:val="24"/>
          <w:szCs w:val="24"/>
        </w:rPr>
        <w:lastRenderedPageBreak/>
        <w:t xml:space="preserve">　　各省级教育行政部门、招生考试机构、高校和中学要主动加强正面宣传，切实做好政策解读、志愿填报、信访查询、温馨提示等服务工作。加强考生诚信教育，大力宣传《中华人民共和国刑法修正案(九)》《中华人民共和国教育法》中有关涉考条款，加大对弄虚作假和考试作弊处罚的宣传力度，并在考生诚信承诺书、考生须知等材料中增加相应条款内容，引导考生自觉抵制违法违规行为。按照《教育部 中国残联关于印发〈残疾人参加普通高等学校招生全国统一考试管理规定〉的通知》（教学〔2017〕4号），为残疾人平等参加高考提供合理便利，并提前向社会公布。增强服务意识，加强对治安、出行、食宿、卫生等方面的综合保障，营造温馨考试环境。要联合工商、物价等部门，对中介机构收取高价填报志愿咨询费、面试辅导费等进行治理。积极协调新闻媒体，规范新闻报道，不宣传炒作所谓“高考状元”“高考升学率”。加强舆情监控，防止招生诈骗等有害信息传播。招生录取期间，各地和高校要向社会公开违规举报电话和咨询电话，安排专人接访，及时妥善处置高校招生信访问题。</w:t>
      </w:r>
    </w:p>
    <w:p w:rsidR="00FC5B9F" w:rsidRPr="00FC5B9F" w:rsidRDefault="00FC5B9F" w:rsidP="00FC5B9F">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FC5B9F">
        <w:rPr>
          <w:rFonts w:ascii="微软雅黑" w:eastAsia="微软雅黑" w:hAnsi="微软雅黑" w:cs="宋体" w:hint="eastAsia"/>
          <w:color w:val="4B4B4B"/>
          <w:kern w:val="0"/>
          <w:sz w:val="24"/>
          <w:szCs w:val="24"/>
        </w:rPr>
        <w:t xml:space="preserve">　　请各省级高校招生委员会将本通知转发至本行政区域内所有普通高校、高中阶段学校。</w:t>
      </w:r>
    </w:p>
    <w:p w:rsidR="00FC5B9F" w:rsidRPr="00FC5B9F" w:rsidRDefault="00FC5B9F" w:rsidP="00FC5B9F">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FC5B9F">
        <w:rPr>
          <w:rFonts w:ascii="微软雅黑" w:eastAsia="微软雅黑" w:hAnsi="微软雅黑" w:cs="宋体" w:hint="eastAsia"/>
          <w:color w:val="4B4B4B"/>
          <w:kern w:val="0"/>
          <w:sz w:val="24"/>
          <w:szCs w:val="24"/>
        </w:rPr>
        <w:t>教育部</w:t>
      </w:r>
    </w:p>
    <w:p w:rsidR="00512112" w:rsidRPr="003A5BFF" w:rsidRDefault="00FC5B9F" w:rsidP="003A5BF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FC5B9F">
        <w:rPr>
          <w:rFonts w:ascii="微软雅黑" w:eastAsia="微软雅黑" w:hAnsi="微软雅黑" w:cs="宋体" w:hint="eastAsia"/>
          <w:color w:val="4B4B4B"/>
          <w:kern w:val="0"/>
          <w:sz w:val="24"/>
          <w:szCs w:val="24"/>
        </w:rPr>
        <w:t>2018年3月1日</w:t>
      </w:r>
      <w:bookmarkStart w:id="0" w:name="_GoBack"/>
      <w:bookmarkEnd w:id="0"/>
    </w:p>
    <w:sectPr w:rsidR="00512112" w:rsidRPr="003A5BFF" w:rsidSect="005121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0F9" w:rsidRDefault="009B70F9" w:rsidP="00FC5B9F">
      <w:r>
        <w:separator/>
      </w:r>
    </w:p>
  </w:endnote>
  <w:endnote w:type="continuationSeparator" w:id="0">
    <w:p w:rsidR="009B70F9" w:rsidRDefault="009B70F9" w:rsidP="00FC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ˎ̥">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0F9" w:rsidRDefault="009B70F9" w:rsidP="00FC5B9F">
      <w:r>
        <w:separator/>
      </w:r>
    </w:p>
  </w:footnote>
  <w:footnote w:type="continuationSeparator" w:id="0">
    <w:p w:rsidR="009B70F9" w:rsidRDefault="009B70F9" w:rsidP="00FC5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5B9F"/>
    <w:rsid w:val="003821EF"/>
    <w:rsid w:val="003A5BFF"/>
    <w:rsid w:val="00512112"/>
    <w:rsid w:val="009B70F9"/>
    <w:rsid w:val="00D30F1E"/>
    <w:rsid w:val="00FC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A8E8BB-4516-4CB1-941F-9816C53D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112"/>
    <w:pPr>
      <w:widowControl w:val="0"/>
      <w:jc w:val="both"/>
    </w:pPr>
  </w:style>
  <w:style w:type="paragraph" w:styleId="1">
    <w:name w:val="heading 1"/>
    <w:basedOn w:val="a"/>
    <w:link w:val="1Char"/>
    <w:uiPriority w:val="9"/>
    <w:qFormat/>
    <w:rsid w:val="00FC5B9F"/>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FC5B9F"/>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FC5B9F"/>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5B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5B9F"/>
    <w:rPr>
      <w:sz w:val="18"/>
      <w:szCs w:val="18"/>
    </w:rPr>
  </w:style>
  <w:style w:type="paragraph" w:styleId="a4">
    <w:name w:val="footer"/>
    <w:basedOn w:val="a"/>
    <w:link w:val="Char0"/>
    <w:uiPriority w:val="99"/>
    <w:semiHidden/>
    <w:unhideWhenUsed/>
    <w:rsid w:val="00FC5B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5B9F"/>
    <w:rPr>
      <w:sz w:val="18"/>
      <w:szCs w:val="18"/>
    </w:rPr>
  </w:style>
  <w:style w:type="character" w:customStyle="1" w:styleId="1Char">
    <w:name w:val="标题 1 Char"/>
    <w:basedOn w:val="a0"/>
    <w:link w:val="1"/>
    <w:uiPriority w:val="9"/>
    <w:rsid w:val="00FC5B9F"/>
    <w:rPr>
      <w:rFonts w:ascii="宋体" w:eastAsia="宋体" w:hAnsi="宋体" w:cs="宋体"/>
      <w:b/>
      <w:bCs/>
      <w:kern w:val="36"/>
      <w:sz w:val="48"/>
      <w:szCs w:val="48"/>
    </w:rPr>
  </w:style>
  <w:style w:type="character" w:customStyle="1" w:styleId="5Char">
    <w:name w:val="标题 5 Char"/>
    <w:basedOn w:val="a0"/>
    <w:link w:val="5"/>
    <w:uiPriority w:val="9"/>
    <w:rsid w:val="00FC5B9F"/>
    <w:rPr>
      <w:rFonts w:ascii="宋体" w:eastAsia="宋体" w:hAnsi="宋体" w:cs="宋体"/>
      <w:b/>
      <w:bCs/>
      <w:kern w:val="0"/>
      <w:sz w:val="20"/>
      <w:szCs w:val="20"/>
    </w:rPr>
  </w:style>
  <w:style w:type="character" w:customStyle="1" w:styleId="6Char">
    <w:name w:val="标题 6 Char"/>
    <w:basedOn w:val="a0"/>
    <w:link w:val="6"/>
    <w:uiPriority w:val="9"/>
    <w:rsid w:val="00FC5B9F"/>
    <w:rPr>
      <w:rFonts w:ascii="宋体" w:eastAsia="宋体" w:hAnsi="宋体" w:cs="宋体"/>
      <w:b/>
      <w:bCs/>
      <w:kern w:val="0"/>
      <w:sz w:val="15"/>
      <w:szCs w:val="15"/>
    </w:rPr>
  </w:style>
  <w:style w:type="character" w:styleId="a5">
    <w:name w:val="Hyperlink"/>
    <w:basedOn w:val="a0"/>
    <w:uiPriority w:val="99"/>
    <w:semiHidden/>
    <w:unhideWhenUsed/>
    <w:rsid w:val="00FC5B9F"/>
    <w:rPr>
      <w:strike w:val="0"/>
      <w:dstrike w:val="0"/>
      <w:color w:val="0000FF"/>
      <w:u w:val="none"/>
      <w:effect w:val="none"/>
    </w:rPr>
  </w:style>
  <w:style w:type="character" w:styleId="a6">
    <w:name w:val="FollowedHyperlink"/>
    <w:basedOn w:val="a0"/>
    <w:uiPriority w:val="99"/>
    <w:semiHidden/>
    <w:unhideWhenUsed/>
    <w:rsid w:val="00FC5B9F"/>
    <w:rPr>
      <w:strike w:val="0"/>
      <w:dstrike w:val="0"/>
      <w:color w:val="800080"/>
      <w:u w:val="none"/>
      <w:effect w:val="none"/>
    </w:rPr>
  </w:style>
  <w:style w:type="paragraph" w:styleId="a7">
    <w:name w:val="Normal (Web)"/>
    <w:basedOn w:val="a"/>
    <w:uiPriority w:val="99"/>
    <w:semiHidden/>
    <w:unhideWhenUsed/>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FC5B9F"/>
    <w:pPr>
      <w:widowControl/>
      <w:jc w:val="left"/>
    </w:pPr>
    <w:rPr>
      <w:rFonts w:ascii="宋体" w:eastAsia="宋体" w:hAnsi="宋体" w:cs="宋体"/>
      <w:kern w:val="0"/>
      <w:sz w:val="24"/>
      <w:szCs w:val="24"/>
    </w:rPr>
  </w:style>
  <w:style w:type="paragraph" w:customStyle="1" w:styleId="xxgklogo">
    <w:name w:val="xxgk_logo"/>
    <w:basedOn w:val="a"/>
    <w:rsid w:val="00FC5B9F"/>
    <w:pPr>
      <w:widowControl/>
      <w:spacing w:before="600" w:after="720"/>
      <w:jc w:val="left"/>
    </w:pPr>
    <w:rPr>
      <w:rFonts w:ascii="宋体" w:eastAsia="宋体" w:hAnsi="宋体" w:cs="宋体"/>
      <w:kern w:val="0"/>
      <w:sz w:val="24"/>
      <w:szCs w:val="24"/>
    </w:rPr>
  </w:style>
  <w:style w:type="paragraph" w:customStyle="1" w:styleId="xxgkjs">
    <w:name w:val="xxgk_js"/>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FC5B9F"/>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FC5B9F"/>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FC5B9F"/>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FC5B9F"/>
    <w:pPr>
      <w:widowControl/>
      <w:jc w:val="left"/>
    </w:pPr>
    <w:rPr>
      <w:rFonts w:ascii="宋体" w:eastAsia="宋体" w:hAnsi="宋体" w:cs="宋体"/>
      <w:kern w:val="0"/>
      <w:sz w:val="24"/>
      <w:szCs w:val="24"/>
    </w:rPr>
  </w:style>
  <w:style w:type="paragraph" w:customStyle="1" w:styleId="xxgkfootnrs">
    <w:name w:val="xxgk_foot_nrs"/>
    <w:basedOn w:val="a"/>
    <w:rsid w:val="00FC5B9F"/>
    <w:pPr>
      <w:widowControl/>
      <w:jc w:val="left"/>
    </w:pPr>
    <w:rPr>
      <w:rFonts w:ascii="宋体" w:eastAsia="宋体" w:hAnsi="宋体" w:cs="宋体"/>
      <w:kern w:val="0"/>
      <w:sz w:val="24"/>
      <w:szCs w:val="24"/>
    </w:rPr>
  </w:style>
  <w:style w:type="paragraph" w:customStyle="1" w:styleId="xxgkfootzj">
    <w:name w:val="xxgk_foot_zj"/>
    <w:basedOn w:val="a"/>
    <w:rsid w:val="00FC5B9F"/>
    <w:pPr>
      <w:widowControl/>
      <w:spacing w:before="240"/>
      <w:jc w:val="left"/>
    </w:pPr>
    <w:rPr>
      <w:rFonts w:ascii="宋体" w:eastAsia="宋体" w:hAnsi="宋体" w:cs="宋体"/>
      <w:kern w:val="0"/>
      <w:sz w:val="24"/>
      <w:szCs w:val="24"/>
    </w:rPr>
  </w:style>
  <w:style w:type="paragraph" w:customStyle="1" w:styleId="xxgkfootxia">
    <w:name w:val="xxgk_foot_xia"/>
    <w:basedOn w:val="a"/>
    <w:rsid w:val="00FC5B9F"/>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FC5B9F"/>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FC5B9F"/>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FC5B9F"/>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FC5B9F"/>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FC5B9F"/>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FC5B9F"/>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FC5B9F"/>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FC5B9F"/>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FC5B9F"/>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FC5B9F"/>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FC5B9F"/>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FC5B9F"/>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FC5B9F"/>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FC5B9F"/>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FC5B9F"/>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FC5B9F"/>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FC5B9F"/>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FC5B9F"/>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FC5B9F"/>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character" w:styleId="a8">
    <w:name w:val="Strong"/>
    <w:basedOn w:val="a0"/>
    <w:uiPriority w:val="22"/>
    <w:qFormat/>
    <w:rsid w:val="00FC5B9F"/>
    <w:rPr>
      <w:b/>
      <w:bCs/>
    </w:rPr>
  </w:style>
  <w:style w:type="paragraph" w:styleId="a9">
    <w:name w:val="Date"/>
    <w:basedOn w:val="a"/>
    <w:next w:val="a"/>
    <w:link w:val="Char1"/>
    <w:uiPriority w:val="99"/>
    <w:semiHidden/>
    <w:unhideWhenUsed/>
    <w:rsid w:val="00FC5B9F"/>
    <w:pPr>
      <w:ind w:leftChars="2500" w:left="100"/>
    </w:pPr>
  </w:style>
  <w:style w:type="character" w:customStyle="1" w:styleId="Char1">
    <w:name w:val="日期 Char"/>
    <w:basedOn w:val="a0"/>
    <w:link w:val="a9"/>
    <w:uiPriority w:val="99"/>
    <w:semiHidden/>
    <w:rsid w:val="00FC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954325">
      <w:bodyDiv w:val="1"/>
      <w:marLeft w:val="0"/>
      <w:marRight w:val="0"/>
      <w:marTop w:val="0"/>
      <w:marBottom w:val="0"/>
      <w:divBdr>
        <w:top w:val="none" w:sz="0" w:space="0" w:color="auto"/>
        <w:left w:val="none" w:sz="0" w:space="0" w:color="auto"/>
        <w:bottom w:val="none" w:sz="0" w:space="0" w:color="auto"/>
        <w:right w:val="none" w:sz="0" w:space="0" w:color="auto"/>
      </w:divBdr>
      <w:divsChild>
        <w:div w:id="1363941684">
          <w:marLeft w:val="0"/>
          <w:marRight w:val="0"/>
          <w:marTop w:val="0"/>
          <w:marBottom w:val="0"/>
          <w:divBdr>
            <w:top w:val="none" w:sz="0" w:space="0" w:color="auto"/>
            <w:left w:val="none" w:sz="0" w:space="0" w:color="auto"/>
            <w:bottom w:val="none" w:sz="0" w:space="0" w:color="auto"/>
            <w:right w:val="none" w:sz="0" w:space="0" w:color="auto"/>
          </w:divBdr>
          <w:divsChild>
            <w:div w:id="1583489549">
              <w:marLeft w:val="0"/>
              <w:marRight w:val="0"/>
              <w:marTop w:val="0"/>
              <w:marBottom w:val="0"/>
              <w:divBdr>
                <w:top w:val="single" w:sz="6" w:space="31" w:color="BCBCBC"/>
                <w:left w:val="single" w:sz="6" w:space="31" w:color="BCBCBC"/>
                <w:bottom w:val="single" w:sz="6" w:space="15" w:color="BCBCBC"/>
                <w:right w:val="single" w:sz="6" w:space="31" w:color="BCBCBC"/>
              </w:divBdr>
              <w:divsChild>
                <w:div w:id="1495367364">
                  <w:marLeft w:val="0"/>
                  <w:marRight w:val="0"/>
                  <w:marTop w:val="0"/>
                  <w:marBottom w:val="0"/>
                  <w:divBdr>
                    <w:top w:val="none" w:sz="0" w:space="0" w:color="auto"/>
                    <w:left w:val="none" w:sz="0" w:space="0" w:color="auto"/>
                    <w:bottom w:val="none" w:sz="0" w:space="0" w:color="auto"/>
                    <w:right w:val="none" w:sz="0" w:space="0" w:color="auto"/>
                  </w:divBdr>
                  <w:divsChild>
                    <w:div w:id="1014068333">
                      <w:marLeft w:val="0"/>
                      <w:marRight w:val="0"/>
                      <w:marTop w:val="0"/>
                      <w:marBottom w:val="0"/>
                      <w:divBdr>
                        <w:top w:val="none" w:sz="0" w:space="0" w:color="auto"/>
                        <w:left w:val="none" w:sz="0" w:space="0" w:color="auto"/>
                        <w:bottom w:val="none" w:sz="0" w:space="0" w:color="auto"/>
                        <w:right w:val="none" w:sz="0" w:space="0" w:color="auto"/>
                      </w:divBdr>
                    </w:div>
                    <w:div w:id="77760630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LIUJIE</cp:lastModifiedBy>
  <cp:revision>4</cp:revision>
  <dcterms:created xsi:type="dcterms:W3CDTF">2018-04-11T08:45:00Z</dcterms:created>
  <dcterms:modified xsi:type="dcterms:W3CDTF">2018-06-12T08:09:00Z</dcterms:modified>
</cp:coreProperties>
</file>